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48D8395" w14:textId="77777777" w:rsidR="00DE12AF" w:rsidRDefault="004335FD">
      <w:pPr>
        <w:jc w:val="center"/>
        <w:rPr>
          <w:b/>
          <w:bCs/>
          <w:sz w:val="28"/>
          <w:szCs w:val="28"/>
        </w:rPr>
      </w:pPr>
      <w:r>
        <w:rPr>
          <w:b/>
          <w:bCs/>
          <w:sz w:val="28"/>
          <w:szCs w:val="28"/>
        </w:rPr>
        <w:t>SERVICE CONTRACT NOTICE</w:t>
      </w:r>
    </w:p>
    <w:p w14:paraId="13FDB9CE" w14:textId="4ACB5A34" w:rsidR="00DE12AF" w:rsidRDefault="00DA6CD3">
      <w:pPr>
        <w:jc w:val="center"/>
        <w:rPr>
          <w:sz w:val="28"/>
          <w:szCs w:val="28"/>
        </w:rPr>
      </w:pPr>
      <w:r w:rsidRPr="00DA6CD3">
        <w:rPr>
          <w:b/>
          <w:bCs/>
          <w:sz w:val="28"/>
          <w:szCs w:val="28"/>
        </w:rPr>
        <w:t xml:space="preserve">Service procurement for reproduction of sculptures, for the </w:t>
      </w:r>
      <w:proofErr w:type="gramStart"/>
      <w:r w:rsidRPr="00DA6CD3">
        <w:rPr>
          <w:b/>
          <w:bCs/>
          <w:sz w:val="28"/>
          <w:szCs w:val="28"/>
        </w:rPr>
        <w:t>Park</w:t>
      </w:r>
      <w:proofErr w:type="gramEnd"/>
      <w:r w:rsidRPr="00DA6CD3">
        <w:rPr>
          <w:b/>
          <w:bCs/>
          <w:sz w:val="28"/>
          <w:szCs w:val="28"/>
        </w:rPr>
        <w:t xml:space="preserve"> gallery in </w:t>
      </w:r>
      <w:proofErr w:type="spellStart"/>
      <w:r w:rsidRPr="00DA6CD3">
        <w:rPr>
          <w:b/>
          <w:bCs/>
          <w:sz w:val="28"/>
          <w:szCs w:val="28"/>
        </w:rPr>
        <w:t>Temerin</w:t>
      </w:r>
      <w:proofErr w:type="spellEnd"/>
      <w:r w:rsidRPr="00DA6CD3">
        <w:rPr>
          <w:b/>
          <w:bCs/>
          <w:sz w:val="28"/>
          <w:szCs w:val="28"/>
        </w:rPr>
        <w:t xml:space="preserve">, Municipality of </w:t>
      </w:r>
      <w:proofErr w:type="spellStart"/>
      <w:r w:rsidRPr="00DA6CD3">
        <w:rPr>
          <w:b/>
          <w:bCs/>
          <w:sz w:val="28"/>
          <w:szCs w:val="28"/>
        </w:rPr>
        <w:t>Temerin</w:t>
      </w:r>
      <w:proofErr w:type="spellEnd"/>
      <w:r w:rsidR="004335FD">
        <w:rPr>
          <w:b/>
          <w:bCs/>
          <w:sz w:val="28"/>
          <w:szCs w:val="28"/>
        </w:rPr>
        <w:br/>
      </w:r>
      <w:r w:rsidR="004335FD">
        <w:rPr>
          <w:b/>
          <w:bCs/>
          <w:sz w:val="28"/>
          <w:szCs w:val="28"/>
        </w:rPr>
        <w:t xml:space="preserve">Location: Republic of Serbia, Vojvodina province, South </w:t>
      </w:r>
      <w:proofErr w:type="spellStart"/>
      <w:r w:rsidR="004335FD">
        <w:rPr>
          <w:b/>
          <w:bCs/>
          <w:sz w:val="28"/>
          <w:szCs w:val="28"/>
        </w:rPr>
        <w:t>Bačka</w:t>
      </w:r>
      <w:proofErr w:type="spellEnd"/>
      <w:r w:rsidR="004335FD">
        <w:rPr>
          <w:b/>
          <w:bCs/>
          <w:sz w:val="28"/>
          <w:szCs w:val="28"/>
        </w:rPr>
        <w:t xml:space="preserve"> District, Municipality of </w:t>
      </w:r>
      <w:proofErr w:type="spellStart"/>
      <w:r w:rsidR="004335FD">
        <w:rPr>
          <w:b/>
          <w:bCs/>
          <w:sz w:val="28"/>
          <w:szCs w:val="28"/>
        </w:rPr>
        <w:t>Temerin</w:t>
      </w:r>
      <w:proofErr w:type="spellEnd"/>
    </w:p>
    <w:p w14:paraId="07CDE30A" w14:textId="77777777" w:rsidR="00DE12AF" w:rsidRDefault="004335FD">
      <w:pPr>
        <w:ind w:left="284" w:hanging="284"/>
        <w:rPr>
          <w:sz w:val="22"/>
          <w:szCs w:val="22"/>
        </w:rPr>
      </w:pPr>
      <w:r>
        <w:rPr>
          <w:b/>
          <w:bCs/>
          <w:sz w:val="22"/>
          <w:szCs w:val="22"/>
        </w:rPr>
        <w:t>1.</w:t>
      </w:r>
      <w:r>
        <w:rPr>
          <w:b/>
          <w:bCs/>
          <w:sz w:val="22"/>
          <w:szCs w:val="22"/>
        </w:rPr>
        <w:tab/>
        <w:t>Reference</w:t>
      </w:r>
    </w:p>
    <w:p w14:paraId="008BA9E3" w14:textId="77777777" w:rsidR="00DE12AF" w:rsidRDefault="004335FD">
      <w:pPr>
        <w:pBdr>
          <w:top w:val="nil"/>
          <w:left w:val="nil"/>
          <w:bottom w:val="nil"/>
          <w:right w:val="nil"/>
          <w:between w:val="nil"/>
        </w:pBdr>
        <w:ind w:left="284" w:right="360" w:hanging="284"/>
        <w:rPr>
          <w:i/>
          <w:iCs/>
          <w:color w:val="000000"/>
          <w:sz w:val="22"/>
          <w:szCs w:val="22"/>
        </w:rPr>
      </w:pPr>
      <w:r>
        <w:rPr>
          <w:color w:val="000000"/>
          <w:sz w:val="22"/>
          <w:szCs w:val="22"/>
        </w:rPr>
        <w:t>HUSRB/23R/22/044-MTMA-06</w:t>
      </w:r>
    </w:p>
    <w:p w14:paraId="0901263C" w14:textId="77777777" w:rsidR="00DE12AF" w:rsidRDefault="004335FD">
      <w:pPr>
        <w:ind w:left="284" w:hanging="284"/>
        <w:rPr>
          <w:sz w:val="22"/>
          <w:szCs w:val="22"/>
        </w:rPr>
      </w:pPr>
      <w:r>
        <w:rPr>
          <w:b/>
          <w:bCs/>
          <w:sz w:val="22"/>
          <w:szCs w:val="22"/>
        </w:rPr>
        <w:t>2.</w:t>
      </w:r>
      <w:r>
        <w:rPr>
          <w:b/>
          <w:bCs/>
          <w:sz w:val="22"/>
          <w:szCs w:val="22"/>
        </w:rPr>
        <w:tab/>
        <w:t>Procedure</w:t>
      </w:r>
    </w:p>
    <w:p w14:paraId="0C248B31" w14:textId="77777777" w:rsidR="00DE12AF" w:rsidRDefault="004335FD">
      <w:pPr>
        <w:pBdr>
          <w:top w:val="nil"/>
          <w:left w:val="nil"/>
          <w:bottom w:val="nil"/>
          <w:right w:val="nil"/>
          <w:between w:val="nil"/>
        </w:pBdr>
        <w:ind w:left="284" w:right="360" w:hanging="284"/>
        <w:jc w:val="both"/>
        <w:rPr>
          <w:color w:val="000000"/>
          <w:sz w:val="22"/>
          <w:szCs w:val="22"/>
        </w:rPr>
      </w:pPr>
      <w:r>
        <w:rPr>
          <w:color w:val="000000"/>
          <w:sz w:val="22"/>
          <w:szCs w:val="22"/>
        </w:rPr>
        <w:t xml:space="preserve">Simplified </w:t>
      </w:r>
    </w:p>
    <w:p w14:paraId="70FC890A" w14:textId="77777777" w:rsidR="00DE12AF" w:rsidRDefault="004335FD">
      <w:pPr>
        <w:ind w:left="284" w:hanging="284"/>
        <w:rPr>
          <w:b/>
          <w:bCs/>
          <w:sz w:val="22"/>
          <w:szCs w:val="22"/>
        </w:rPr>
      </w:pPr>
      <w:r>
        <w:rPr>
          <w:b/>
          <w:bCs/>
          <w:sz w:val="22"/>
          <w:szCs w:val="22"/>
        </w:rPr>
        <w:t xml:space="preserve">3. </w:t>
      </w:r>
      <w:r>
        <w:rPr>
          <w:b/>
          <w:bCs/>
          <w:sz w:val="22"/>
          <w:szCs w:val="22"/>
        </w:rPr>
        <w:tab/>
        <w:t>Programme title</w:t>
      </w:r>
    </w:p>
    <w:p w14:paraId="2322299A" w14:textId="77777777" w:rsidR="00DE12AF" w:rsidRDefault="004335FD">
      <w:pPr>
        <w:pBdr>
          <w:top w:val="nil"/>
          <w:left w:val="nil"/>
          <w:bottom w:val="nil"/>
          <w:right w:val="nil"/>
          <w:between w:val="nil"/>
        </w:pBdr>
        <w:ind w:left="1134" w:hanging="567"/>
        <w:jc w:val="both"/>
        <w:rPr>
          <w:color w:val="000000"/>
          <w:sz w:val="22"/>
          <w:szCs w:val="22"/>
        </w:rPr>
      </w:pPr>
      <w:r>
        <w:rPr>
          <w:color w:val="000000"/>
          <w:sz w:val="22"/>
          <w:szCs w:val="22"/>
        </w:rPr>
        <w:t xml:space="preserve">Interreg IPA Hungary – Serbia, project: Shared values - Cultural cooperation for promotion of modern and contemporary arts and culture (TIMSUM2), Project ID: HUSRB/23R/22/044 </w:t>
      </w:r>
    </w:p>
    <w:p w14:paraId="70A2B675" w14:textId="77777777" w:rsidR="00DE12AF" w:rsidRDefault="004335FD">
      <w:pPr>
        <w:ind w:left="284" w:hanging="284"/>
        <w:rPr>
          <w:sz w:val="22"/>
          <w:szCs w:val="22"/>
        </w:rPr>
      </w:pPr>
      <w:r>
        <w:rPr>
          <w:b/>
          <w:bCs/>
          <w:sz w:val="22"/>
          <w:szCs w:val="22"/>
        </w:rPr>
        <w:t xml:space="preserve">4. </w:t>
      </w:r>
      <w:r>
        <w:rPr>
          <w:b/>
          <w:bCs/>
          <w:sz w:val="22"/>
          <w:szCs w:val="22"/>
        </w:rPr>
        <w:tab/>
        <w:t>Financing</w:t>
      </w:r>
    </w:p>
    <w:p w14:paraId="2D3EAB94" w14:textId="77777777" w:rsidR="00DE12AF" w:rsidRDefault="004335FD">
      <w:pPr>
        <w:pBdr>
          <w:top w:val="nil"/>
          <w:left w:val="nil"/>
          <w:bottom w:val="nil"/>
          <w:right w:val="nil"/>
          <w:between w:val="nil"/>
        </w:pBdr>
        <w:ind w:right="360"/>
        <w:jc w:val="both"/>
        <w:rPr>
          <w:color w:val="000000"/>
          <w:sz w:val="22"/>
          <w:szCs w:val="22"/>
        </w:rPr>
      </w:pPr>
      <w:r>
        <w:rPr>
          <w:color w:val="000000"/>
          <w:sz w:val="22"/>
          <w:szCs w:val="22"/>
        </w:rPr>
        <w:t>The project is financed by the European Union within program Interreg IPA Hungary - Serbia, in accordance with the rules of TIMSUM2 project.</w:t>
      </w:r>
    </w:p>
    <w:p w14:paraId="58491705" w14:textId="77777777" w:rsidR="00DE12AF" w:rsidRDefault="004335FD">
      <w:pPr>
        <w:ind w:left="284" w:hanging="284"/>
        <w:rPr>
          <w:sz w:val="22"/>
          <w:szCs w:val="22"/>
        </w:rPr>
      </w:pPr>
      <w:r>
        <w:rPr>
          <w:b/>
          <w:bCs/>
          <w:sz w:val="22"/>
          <w:szCs w:val="22"/>
        </w:rPr>
        <w:t xml:space="preserve">5. </w:t>
      </w:r>
      <w:r>
        <w:rPr>
          <w:b/>
          <w:bCs/>
          <w:sz w:val="22"/>
          <w:szCs w:val="22"/>
        </w:rPr>
        <w:tab/>
        <w:t>Contracting authority</w:t>
      </w:r>
    </w:p>
    <w:p w14:paraId="0704F4E2" w14:textId="77777777" w:rsidR="00DE12AF" w:rsidRDefault="004335FD">
      <w:pPr>
        <w:ind w:right="357"/>
        <w:jc w:val="both"/>
        <w:rPr>
          <w:sz w:val="22"/>
          <w:szCs w:val="22"/>
        </w:rPr>
      </w:pPr>
      <w:r>
        <w:rPr>
          <w:sz w:val="22"/>
          <w:szCs w:val="22"/>
        </w:rPr>
        <w:t xml:space="preserve">The Republic of Serbia, Municipality of </w:t>
      </w:r>
      <w:proofErr w:type="spellStart"/>
      <w:r>
        <w:rPr>
          <w:sz w:val="22"/>
          <w:szCs w:val="22"/>
        </w:rPr>
        <w:t>Temerin</w:t>
      </w:r>
      <w:proofErr w:type="spellEnd"/>
      <w:r>
        <w:rPr>
          <w:sz w:val="22"/>
          <w:szCs w:val="22"/>
        </w:rPr>
        <w:t>.</w:t>
      </w:r>
    </w:p>
    <w:p w14:paraId="64334250" w14:textId="77777777" w:rsidR="00DE12AF" w:rsidRDefault="004335FD">
      <w:pPr>
        <w:rPr>
          <w:sz w:val="22"/>
          <w:szCs w:val="22"/>
        </w:rPr>
      </w:pPr>
      <w:r>
        <w:rPr>
          <w:noProof/>
        </w:rPr>
        <mc:AlternateContent>
          <mc:Choice Requires="wps">
            <w:drawing>
              <wp:anchor distT="0" distB="0" distL="114300" distR="114300" simplePos="0" relativeHeight="251658240" behindDoc="0" locked="0" layoutInCell="1" hidden="0" allowOverlap="1" wp14:anchorId="69D9F212" wp14:editId="6928988B">
                <wp:simplePos x="0" y="0"/>
                <wp:positionH relativeFrom="column">
                  <wp:posOffset>1</wp:posOffset>
                </wp:positionH>
                <wp:positionV relativeFrom="paragraph">
                  <wp:posOffset>141288</wp:posOffset>
                </wp:positionV>
                <wp:extent cx="635" cy="22225"/>
                <wp:effectExtent l="0" t="0" r="0" b="0"/>
                <wp:wrapNone/>
                <wp:docPr id="9" name="Straight Arrow Connector 9"/>
                <wp:cNvGraphicFramePr/>
                <a:graphic xmlns:a="http://schemas.openxmlformats.org/drawingml/2006/main">
                  <a:graphicData uri="http://schemas.microsoft.com/office/word/2010/wordprocessingShape">
                    <wps:wsp>
                      <wps:cNvCnPr/>
                      <wps:spPr>
                        <a:xfrm>
                          <a:off x="2374200" y="3779683"/>
                          <a:ext cx="5943600" cy="635"/>
                        </a:xfrm>
                        <a:prstGeom prst="straightConnector1">
                          <a:avLst/>
                        </a:prstGeom>
                        <a:noFill/>
                        <a:ln w="22225" cap="flat" cmpd="sng">
                          <a:solidFill>
                            <a:srgbClr val="D4D4D4"/>
                          </a:solidFill>
                          <a:prstDash val="solid"/>
                          <a:round/>
                          <a:headEnd type="none" w="sm" len="sm"/>
                          <a:tailEnd type="none" w="sm" len="sm"/>
                        </a:ln>
                        <a:effectLst>
                          <a:outerShdw dist="12700" dir="16200000" algn="ctr" rotWithShape="0">
                            <a:srgbClr val="808080"/>
                          </a:outerShdw>
                        </a:effectLst>
                      </wps:spPr>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1</wp:posOffset>
                </wp:positionH>
                <wp:positionV relativeFrom="paragraph">
                  <wp:posOffset>141288</wp:posOffset>
                </wp:positionV>
                <wp:extent cx="635" cy="22225"/>
                <wp:effectExtent b="0" l="0" r="0" t="0"/>
                <wp:wrapNone/>
                <wp:docPr id="9" name="image4.png"/>
                <a:graphic>
                  <a:graphicData uri="http://schemas.openxmlformats.org/drawingml/2006/picture">
                    <pic:pic>
                      <pic:nvPicPr>
                        <pic:cNvPr id="0" name="image4.png"/>
                        <pic:cNvPicPr preferRelativeResize="0"/>
                      </pic:nvPicPr>
                      <pic:blipFill>
                        <a:blip r:embed="rId8"/>
                        <a:srcRect/>
                        <a:stretch>
                          <a:fillRect/>
                        </a:stretch>
                      </pic:blipFill>
                      <pic:spPr>
                        <a:xfrm>
                          <a:off x="0" y="0"/>
                          <a:ext cx="635" cy="22225"/>
                        </a:xfrm>
                        <a:prstGeom prst="rect"/>
                        <a:ln/>
                      </pic:spPr>
                    </pic:pic>
                  </a:graphicData>
                </a:graphic>
              </wp:anchor>
            </w:drawing>
          </mc:Fallback>
        </mc:AlternateContent>
      </w:r>
    </w:p>
    <w:p w14:paraId="1D83EA74" w14:textId="77777777" w:rsidR="00DE12AF" w:rsidRDefault="004335FD">
      <w:pPr>
        <w:jc w:val="center"/>
        <w:rPr>
          <w:sz w:val="28"/>
          <w:szCs w:val="28"/>
        </w:rPr>
      </w:pPr>
      <w:r>
        <w:rPr>
          <w:b/>
          <w:bCs/>
          <w:sz w:val="28"/>
          <w:szCs w:val="28"/>
        </w:rPr>
        <w:t>CONTRACT SPECIFICATION</w:t>
      </w:r>
    </w:p>
    <w:p w14:paraId="68C6337D" w14:textId="77777777" w:rsidR="00DE12AF" w:rsidRDefault="004335FD">
      <w:pPr>
        <w:ind w:left="284" w:hanging="284"/>
        <w:rPr>
          <w:b/>
          <w:bCs/>
        </w:rPr>
      </w:pPr>
      <w:r>
        <w:rPr>
          <w:b/>
          <w:bCs/>
          <w:sz w:val="22"/>
          <w:szCs w:val="22"/>
        </w:rPr>
        <w:t xml:space="preserve">6. </w:t>
      </w:r>
      <w:r>
        <w:rPr>
          <w:b/>
          <w:bCs/>
          <w:sz w:val="22"/>
          <w:szCs w:val="22"/>
        </w:rPr>
        <w:tab/>
        <w:t>Nature of contract</w:t>
      </w:r>
    </w:p>
    <w:p w14:paraId="16B229F7" w14:textId="77777777" w:rsidR="00DE12AF" w:rsidRDefault="004335FD">
      <w:pPr>
        <w:pBdr>
          <w:top w:val="nil"/>
          <w:left w:val="nil"/>
          <w:bottom w:val="nil"/>
          <w:right w:val="nil"/>
          <w:between w:val="nil"/>
        </w:pBdr>
        <w:ind w:right="360"/>
        <w:jc w:val="both"/>
        <w:rPr>
          <w:i/>
          <w:iCs/>
          <w:color w:val="000000"/>
          <w:sz w:val="22"/>
          <w:szCs w:val="22"/>
        </w:rPr>
      </w:pPr>
      <w:r>
        <w:rPr>
          <w:color w:val="000000"/>
          <w:sz w:val="22"/>
          <w:szCs w:val="22"/>
        </w:rPr>
        <w:t>Global price</w:t>
      </w:r>
    </w:p>
    <w:p w14:paraId="4C009D41" w14:textId="77777777" w:rsidR="00DE12AF" w:rsidRDefault="004335FD">
      <w:pPr>
        <w:ind w:left="284" w:hanging="284"/>
        <w:rPr>
          <w:b/>
          <w:bCs/>
        </w:rPr>
      </w:pPr>
      <w:r>
        <w:rPr>
          <w:b/>
          <w:bCs/>
          <w:sz w:val="22"/>
          <w:szCs w:val="22"/>
        </w:rPr>
        <w:t xml:space="preserve">7. </w:t>
      </w:r>
      <w:r>
        <w:rPr>
          <w:b/>
          <w:bCs/>
          <w:sz w:val="22"/>
          <w:szCs w:val="22"/>
        </w:rPr>
        <w:tab/>
        <w:t>Contract description</w:t>
      </w:r>
    </w:p>
    <w:p w14:paraId="4E9DAD1D" w14:textId="77777777" w:rsidR="00DE12AF" w:rsidRDefault="004335FD">
      <w:pPr>
        <w:pBdr>
          <w:top w:val="nil"/>
          <w:left w:val="nil"/>
          <w:bottom w:val="nil"/>
          <w:right w:val="nil"/>
          <w:between w:val="nil"/>
        </w:pBdr>
        <w:ind w:right="360"/>
        <w:jc w:val="both"/>
        <w:rPr>
          <w:color w:val="000000"/>
          <w:sz w:val="22"/>
          <w:szCs w:val="22"/>
        </w:rPr>
      </w:pPr>
      <w:r>
        <w:rPr>
          <w:color w:val="000000"/>
          <w:sz w:val="22"/>
          <w:szCs w:val="22"/>
        </w:rPr>
        <w:t xml:space="preserve">Subject of this contract is reproduction and installation of 7 sculptures which are selected artistic compositions from </w:t>
      </w:r>
      <w:r>
        <w:rPr>
          <w:sz w:val="22"/>
          <w:szCs w:val="22"/>
        </w:rPr>
        <w:t xml:space="preserve">renowned </w:t>
      </w:r>
      <w:r>
        <w:rPr>
          <w:color w:val="000000"/>
          <w:sz w:val="22"/>
          <w:szCs w:val="22"/>
        </w:rPr>
        <w:t xml:space="preserve">Baranyi Károly and Zlata </w:t>
      </w:r>
      <w:proofErr w:type="gramStart"/>
      <w:r>
        <w:rPr>
          <w:color w:val="000000"/>
          <w:sz w:val="22"/>
          <w:szCs w:val="22"/>
        </w:rPr>
        <w:t>Markov  legacy</w:t>
      </w:r>
      <w:proofErr w:type="gramEnd"/>
      <w:r>
        <w:rPr>
          <w:color w:val="000000"/>
          <w:sz w:val="22"/>
          <w:szCs w:val="22"/>
        </w:rPr>
        <w:t xml:space="preserve"> in </w:t>
      </w:r>
      <w:proofErr w:type="spellStart"/>
      <w:r>
        <w:rPr>
          <w:color w:val="000000"/>
          <w:sz w:val="22"/>
          <w:szCs w:val="22"/>
        </w:rPr>
        <w:t>Temerin</w:t>
      </w:r>
      <w:proofErr w:type="spellEnd"/>
      <w:r>
        <w:rPr>
          <w:color w:val="000000"/>
          <w:sz w:val="22"/>
          <w:szCs w:val="22"/>
        </w:rPr>
        <w:t xml:space="preserve">. There are 7 composition/sculptures that should be replicated and installed in the public “Stari Park” in </w:t>
      </w:r>
      <w:proofErr w:type="spellStart"/>
      <w:r>
        <w:rPr>
          <w:color w:val="000000"/>
          <w:sz w:val="22"/>
          <w:szCs w:val="22"/>
        </w:rPr>
        <w:t>Temerin</w:t>
      </w:r>
      <w:proofErr w:type="spellEnd"/>
      <w:r>
        <w:rPr>
          <w:color w:val="000000"/>
          <w:sz w:val="22"/>
          <w:szCs w:val="22"/>
        </w:rPr>
        <w:t xml:space="preserve">. These are: </w:t>
      </w:r>
    </w:p>
    <w:p w14:paraId="12071DF6" w14:textId="77777777" w:rsidR="00DE12AF" w:rsidRDefault="004335FD">
      <w:pPr>
        <w:numPr>
          <w:ilvl w:val="0"/>
          <w:numId w:val="1"/>
        </w:numPr>
        <w:pBdr>
          <w:top w:val="nil"/>
          <w:left w:val="nil"/>
          <w:bottom w:val="nil"/>
          <w:right w:val="nil"/>
          <w:between w:val="nil"/>
        </w:pBdr>
        <w:ind w:right="360" w:firstLine="0"/>
        <w:jc w:val="both"/>
        <w:rPr>
          <w:b/>
          <w:bCs/>
          <w:color w:val="000000"/>
          <w:sz w:val="22"/>
          <w:szCs w:val="22"/>
        </w:rPr>
      </w:pPr>
      <w:r>
        <w:rPr>
          <w:b/>
          <w:bCs/>
          <w:color w:val="000000"/>
          <w:sz w:val="22"/>
          <w:szCs w:val="22"/>
        </w:rPr>
        <w:t xml:space="preserve">Cows (consists of 4 independent pieces), </w:t>
      </w:r>
    </w:p>
    <w:p w14:paraId="3615137A" w14:textId="77777777" w:rsidR="00DE12AF" w:rsidRDefault="004335FD">
      <w:pPr>
        <w:numPr>
          <w:ilvl w:val="0"/>
          <w:numId w:val="1"/>
        </w:numPr>
        <w:pBdr>
          <w:top w:val="nil"/>
          <w:left w:val="nil"/>
          <w:bottom w:val="nil"/>
          <w:right w:val="nil"/>
          <w:between w:val="nil"/>
        </w:pBdr>
        <w:ind w:right="360" w:firstLine="0"/>
        <w:jc w:val="both"/>
        <w:rPr>
          <w:b/>
          <w:bCs/>
          <w:i/>
          <w:iCs/>
          <w:color w:val="000000"/>
          <w:sz w:val="22"/>
          <w:szCs w:val="22"/>
        </w:rPr>
      </w:pPr>
      <w:r>
        <w:rPr>
          <w:b/>
          <w:bCs/>
          <w:color w:val="000000"/>
          <w:sz w:val="22"/>
          <w:szCs w:val="22"/>
        </w:rPr>
        <w:t xml:space="preserve">Head 1, </w:t>
      </w:r>
    </w:p>
    <w:p w14:paraId="6198F022" w14:textId="77777777" w:rsidR="00DE12AF" w:rsidRDefault="004335FD">
      <w:pPr>
        <w:numPr>
          <w:ilvl w:val="0"/>
          <w:numId w:val="1"/>
        </w:numPr>
        <w:pBdr>
          <w:top w:val="nil"/>
          <w:left w:val="nil"/>
          <w:bottom w:val="nil"/>
          <w:right w:val="nil"/>
          <w:between w:val="nil"/>
        </w:pBdr>
        <w:ind w:right="360" w:firstLine="0"/>
        <w:jc w:val="both"/>
        <w:rPr>
          <w:b/>
          <w:bCs/>
          <w:i/>
          <w:iCs/>
          <w:color w:val="000000"/>
          <w:sz w:val="22"/>
          <w:szCs w:val="22"/>
        </w:rPr>
      </w:pPr>
      <w:r>
        <w:rPr>
          <w:b/>
          <w:bCs/>
          <w:color w:val="000000"/>
          <w:sz w:val="22"/>
          <w:szCs w:val="22"/>
        </w:rPr>
        <w:t xml:space="preserve">Head 2, </w:t>
      </w:r>
    </w:p>
    <w:p w14:paraId="434126C3" w14:textId="77777777" w:rsidR="00DE12AF" w:rsidRDefault="004335FD">
      <w:pPr>
        <w:numPr>
          <w:ilvl w:val="0"/>
          <w:numId w:val="1"/>
        </w:numPr>
        <w:pBdr>
          <w:top w:val="nil"/>
          <w:left w:val="nil"/>
          <w:bottom w:val="nil"/>
          <w:right w:val="nil"/>
          <w:between w:val="nil"/>
        </w:pBdr>
        <w:ind w:right="360" w:firstLine="0"/>
        <w:jc w:val="both"/>
        <w:rPr>
          <w:b/>
          <w:bCs/>
          <w:i/>
          <w:iCs/>
          <w:color w:val="000000"/>
          <w:sz w:val="22"/>
          <w:szCs w:val="22"/>
        </w:rPr>
      </w:pPr>
      <w:r>
        <w:rPr>
          <w:b/>
          <w:bCs/>
          <w:color w:val="000000"/>
          <w:sz w:val="22"/>
          <w:szCs w:val="22"/>
        </w:rPr>
        <w:t xml:space="preserve">Rhythm, </w:t>
      </w:r>
    </w:p>
    <w:p w14:paraId="3578DB96" w14:textId="77777777" w:rsidR="00DE12AF" w:rsidRDefault="004335FD">
      <w:pPr>
        <w:numPr>
          <w:ilvl w:val="0"/>
          <w:numId w:val="1"/>
        </w:numPr>
        <w:pBdr>
          <w:top w:val="nil"/>
          <w:left w:val="nil"/>
          <w:bottom w:val="nil"/>
          <w:right w:val="nil"/>
          <w:between w:val="nil"/>
        </w:pBdr>
        <w:ind w:right="360" w:firstLine="0"/>
        <w:jc w:val="both"/>
        <w:rPr>
          <w:b/>
          <w:bCs/>
          <w:i/>
          <w:iCs/>
          <w:color w:val="000000"/>
          <w:sz w:val="22"/>
          <w:szCs w:val="22"/>
        </w:rPr>
      </w:pPr>
      <w:r>
        <w:rPr>
          <w:b/>
          <w:bCs/>
          <w:color w:val="000000"/>
          <w:sz w:val="22"/>
          <w:szCs w:val="22"/>
        </w:rPr>
        <w:t xml:space="preserve">Foal, </w:t>
      </w:r>
    </w:p>
    <w:p w14:paraId="788CCDAC" w14:textId="77777777" w:rsidR="00DE12AF" w:rsidRDefault="004335FD">
      <w:pPr>
        <w:numPr>
          <w:ilvl w:val="0"/>
          <w:numId w:val="1"/>
        </w:numPr>
        <w:pBdr>
          <w:top w:val="nil"/>
          <w:left w:val="nil"/>
          <w:bottom w:val="nil"/>
          <w:right w:val="nil"/>
          <w:between w:val="nil"/>
        </w:pBdr>
        <w:ind w:right="360" w:firstLine="0"/>
        <w:jc w:val="both"/>
        <w:rPr>
          <w:b/>
          <w:bCs/>
          <w:i/>
          <w:iCs/>
          <w:color w:val="000000"/>
          <w:sz w:val="22"/>
          <w:szCs w:val="22"/>
        </w:rPr>
      </w:pPr>
      <w:r>
        <w:rPr>
          <w:b/>
          <w:bCs/>
          <w:color w:val="000000"/>
          <w:sz w:val="22"/>
          <w:szCs w:val="22"/>
        </w:rPr>
        <w:t xml:space="preserve">Fish 1 (consists of 2 independent pieces), </w:t>
      </w:r>
    </w:p>
    <w:p w14:paraId="4CBB4AED" w14:textId="77777777" w:rsidR="00DE12AF" w:rsidRDefault="004335FD">
      <w:pPr>
        <w:numPr>
          <w:ilvl w:val="0"/>
          <w:numId w:val="1"/>
        </w:numPr>
        <w:pBdr>
          <w:top w:val="nil"/>
          <w:left w:val="nil"/>
          <w:bottom w:val="nil"/>
          <w:right w:val="nil"/>
          <w:between w:val="nil"/>
        </w:pBdr>
        <w:ind w:right="360" w:firstLine="0"/>
        <w:jc w:val="both"/>
        <w:rPr>
          <w:i/>
          <w:iCs/>
          <w:color w:val="000000"/>
          <w:sz w:val="22"/>
          <w:szCs w:val="22"/>
        </w:rPr>
      </w:pPr>
      <w:r>
        <w:rPr>
          <w:b/>
          <w:bCs/>
          <w:color w:val="000000"/>
          <w:sz w:val="22"/>
          <w:szCs w:val="22"/>
        </w:rPr>
        <w:t>Fish 2</w:t>
      </w:r>
      <w:r>
        <w:rPr>
          <w:color w:val="000000"/>
          <w:sz w:val="22"/>
          <w:szCs w:val="22"/>
        </w:rPr>
        <w:t xml:space="preserve">.  </w:t>
      </w:r>
    </w:p>
    <w:p w14:paraId="48364149" w14:textId="77777777" w:rsidR="00DE12AF" w:rsidRDefault="004335FD">
      <w:pPr>
        <w:pBdr>
          <w:top w:val="nil"/>
          <w:left w:val="nil"/>
          <w:bottom w:val="nil"/>
          <w:right w:val="nil"/>
          <w:between w:val="nil"/>
        </w:pBdr>
        <w:ind w:left="360" w:right="360"/>
        <w:jc w:val="both"/>
        <w:rPr>
          <w:i/>
          <w:iCs/>
          <w:color w:val="000000"/>
          <w:sz w:val="22"/>
          <w:szCs w:val="22"/>
        </w:rPr>
      </w:pPr>
      <w:r>
        <w:rPr>
          <w:color w:val="000000"/>
          <w:sz w:val="22"/>
          <w:szCs w:val="22"/>
        </w:rPr>
        <w:t xml:space="preserve">The replicas shall be created and installed on site in accordance with technical specifications and drawings provided by the contracting </w:t>
      </w:r>
      <w:proofErr w:type="gramStart"/>
      <w:r>
        <w:rPr>
          <w:color w:val="000000"/>
          <w:sz w:val="22"/>
          <w:szCs w:val="22"/>
        </w:rPr>
        <w:t>authority .</w:t>
      </w:r>
      <w:proofErr w:type="gramEnd"/>
      <w:r>
        <w:rPr>
          <w:color w:val="000000"/>
          <w:sz w:val="22"/>
          <w:szCs w:val="22"/>
        </w:rPr>
        <w:t xml:space="preserve"> The replicas shall be created from steel profiles and cut steel sheets with CNC manufacturing (laser or plasma) technology</w:t>
      </w:r>
      <w:r>
        <w:rPr>
          <w:sz w:val="22"/>
          <w:szCs w:val="22"/>
        </w:rPr>
        <w:t xml:space="preserve"> and</w:t>
      </w:r>
      <w:r>
        <w:rPr>
          <w:color w:val="000000"/>
          <w:sz w:val="22"/>
          <w:szCs w:val="22"/>
        </w:rPr>
        <w:t xml:space="preserve"> precise welding. </w:t>
      </w:r>
      <w:r>
        <w:rPr>
          <w:sz w:val="22"/>
          <w:szCs w:val="22"/>
        </w:rPr>
        <w:t>T</w:t>
      </w:r>
      <w:r>
        <w:rPr>
          <w:color w:val="000000"/>
          <w:sz w:val="22"/>
          <w:szCs w:val="22"/>
        </w:rPr>
        <w:t xml:space="preserve">he sculptures should be surface protected by galvanization and automotive paint coating in </w:t>
      </w:r>
      <w:proofErr w:type="spellStart"/>
      <w:r>
        <w:rPr>
          <w:color w:val="000000"/>
          <w:sz w:val="22"/>
          <w:szCs w:val="22"/>
        </w:rPr>
        <w:t>color</w:t>
      </w:r>
      <w:proofErr w:type="spellEnd"/>
      <w:r>
        <w:rPr>
          <w:color w:val="000000"/>
          <w:sz w:val="22"/>
          <w:szCs w:val="22"/>
        </w:rPr>
        <w:t xml:space="preserve"> as defined by the </w:t>
      </w:r>
      <w:proofErr w:type="gramStart"/>
      <w:r>
        <w:rPr>
          <w:color w:val="000000"/>
          <w:sz w:val="22"/>
          <w:szCs w:val="22"/>
        </w:rPr>
        <w:t>specifications .</w:t>
      </w:r>
      <w:proofErr w:type="gramEnd"/>
      <w:r>
        <w:rPr>
          <w:color w:val="000000"/>
          <w:sz w:val="22"/>
          <w:szCs w:val="22"/>
        </w:rPr>
        <w:t xml:space="preserve"> The installation basis </w:t>
      </w:r>
      <w:proofErr w:type="gramStart"/>
      <w:r>
        <w:rPr>
          <w:color w:val="000000"/>
          <w:sz w:val="22"/>
          <w:szCs w:val="22"/>
        </w:rPr>
        <w:t>for  each</w:t>
      </w:r>
      <w:proofErr w:type="gramEnd"/>
      <w:r>
        <w:rPr>
          <w:color w:val="000000"/>
          <w:sz w:val="22"/>
          <w:szCs w:val="22"/>
        </w:rPr>
        <w:t xml:space="preserve"> sculpture will be made ready by the contracting authority.         </w:t>
      </w:r>
    </w:p>
    <w:p w14:paraId="64736988" w14:textId="77777777" w:rsidR="00DE12AF" w:rsidRDefault="004335FD">
      <w:pPr>
        <w:ind w:left="284" w:hanging="284"/>
        <w:rPr>
          <w:sz w:val="22"/>
          <w:szCs w:val="22"/>
        </w:rPr>
      </w:pPr>
      <w:r>
        <w:rPr>
          <w:b/>
          <w:bCs/>
          <w:sz w:val="22"/>
          <w:szCs w:val="22"/>
        </w:rPr>
        <w:t xml:space="preserve">8. </w:t>
      </w:r>
      <w:r>
        <w:rPr>
          <w:b/>
          <w:bCs/>
          <w:sz w:val="22"/>
          <w:szCs w:val="22"/>
        </w:rPr>
        <w:tab/>
        <w:t>Number and titles of lots</w:t>
      </w:r>
    </w:p>
    <w:p w14:paraId="3AA46258" w14:textId="77777777" w:rsidR="00DE12AF" w:rsidRDefault="004335FD">
      <w:pPr>
        <w:jc w:val="both"/>
        <w:rPr>
          <w:sz w:val="22"/>
          <w:szCs w:val="22"/>
        </w:rPr>
      </w:pPr>
      <w:r>
        <w:rPr>
          <w:sz w:val="22"/>
          <w:szCs w:val="22"/>
        </w:rPr>
        <w:t>This contract is divided into lots:</w:t>
      </w:r>
      <w:r>
        <w:rPr>
          <w:b/>
          <w:bCs/>
          <w:sz w:val="22"/>
          <w:szCs w:val="22"/>
        </w:rPr>
        <w:t xml:space="preserve"> </w:t>
      </w:r>
      <w:r>
        <w:rPr>
          <w:sz w:val="22"/>
          <w:szCs w:val="22"/>
        </w:rPr>
        <w:t>no</w:t>
      </w:r>
    </w:p>
    <w:p w14:paraId="4F5D9EF0" w14:textId="77777777" w:rsidR="00DE12AF" w:rsidRDefault="004335FD">
      <w:pPr>
        <w:ind w:left="284" w:hanging="284"/>
        <w:rPr>
          <w:b/>
          <w:bCs/>
          <w:sz w:val="22"/>
          <w:szCs w:val="22"/>
        </w:rPr>
      </w:pPr>
      <w:r>
        <w:rPr>
          <w:b/>
          <w:bCs/>
          <w:sz w:val="22"/>
          <w:szCs w:val="22"/>
        </w:rPr>
        <w:lastRenderedPageBreak/>
        <w:t xml:space="preserve">9. </w:t>
      </w:r>
      <w:r>
        <w:rPr>
          <w:b/>
          <w:bCs/>
          <w:sz w:val="22"/>
          <w:szCs w:val="22"/>
        </w:rPr>
        <w:tab/>
        <w:t>Maximum budget</w:t>
      </w:r>
    </w:p>
    <w:p w14:paraId="55A73647" w14:textId="77777777" w:rsidR="00DE12AF" w:rsidRDefault="004335FD">
      <w:pPr>
        <w:pBdr>
          <w:top w:val="nil"/>
          <w:left w:val="nil"/>
          <w:bottom w:val="nil"/>
          <w:right w:val="nil"/>
          <w:between w:val="nil"/>
        </w:pBdr>
        <w:ind w:right="360"/>
        <w:jc w:val="both"/>
        <w:rPr>
          <w:color w:val="000000"/>
          <w:sz w:val="22"/>
          <w:szCs w:val="22"/>
        </w:rPr>
      </w:pPr>
      <w:r>
        <w:rPr>
          <w:color w:val="000000"/>
          <w:sz w:val="22"/>
          <w:szCs w:val="22"/>
        </w:rPr>
        <w:t>Value including VAT: 42.000,00 EUR</w:t>
      </w:r>
    </w:p>
    <w:p w14:paraId="0ADA1A83" w14:textId="77777777" w:rsidR="00DE12AF" w:rsidRDefault="00DE12AF">
      <w:pPr>
        <w:pBdr>
          <w:top w:val="nil"/>
          <w:left w:val="nil"/>
          <w:bottom w:val="nil"/>
          <w:right w:val="nil"/>
          <w:between w:val="nil"/>
        </w:pBdr>
        <w:ind w:right="360"/>
        <w:jc w:val="both"/>
        <w:rPr>
          <w:color w:val="000000"/>
          <w:sz w:val="22"/>
          <w:szCs w:val="22"/>
          <w:highlight w:val="green"/>
        </w:rPr>
      </w:pPr>
    </w:p>
    <w:p w14:paraId="6C37C976" w14:textId="77777777" w:rsidR="00DE12AF" w:rsidRDefault="004335FD">
      <w:pPr>
        <w:keepNext/>
        <w:keepLines/>
        <w:widowControl/>
        <w:jc w:val="center"/>
        <w:rPr>
          <w:sz w:val="28"/>
          <w:szCs w:val="28"/>
        </w:rPr>
      </w:pPr>
      <w:r>
        <w:rPr>
          <w:b/>
          <w:bCs/>
          <w:sz w:val="28"/>
          <w:szCs w:val="28"/>
        </w:rPr>
        <w:t>CONDITIONS OF PARTICIPATION</w:t>
      </w:r>
      <w:r>
        <w:rPr>
          <w:noProof/>
        </w:rPr>
        <mc:AlternateContent>
          <mc:Choice Requires="wps">
            <w:drawing>
              <wp:anchor distT="0" distB="0" distL="114300" distR="114300" simplePos="0" relativeHeight="251659264" behindDoc="0" locked="0" layoutInCell="1" hidden="0" allowOverlap="1" wp14:anchorId="55710967" wp14:editId="6C828663">
                <wp:simplePos x="0" y="0"/>
                <wp:positionH relativeFrom="column">
                  <wp:posOffset>-3809</wp:posOffset>
                </wp:positionH>
                <wp:positionV relativeFrom="paragraph">
                  <wp:posOffset>-127950</wp:posOffset>
                </wp:positionV>
                <wp:extent cx="635" cy="22225"/>
                <wp:effectExtent l="0" t="0" r="0" b="0"/>
                <wp:wrapNone/>
                <wp:docPr id="8" name="Straight Arrow Connector 8"/>
                <wp:cNvGraphicFramePr/>
                <a:graphic xmlns:a="http://schemas.openxmlformats.org/drawingml/2006/main">
                  <a:graphicData uri="http://schemas.microsoft.com/office/word/2010/wordprocessingShape">
                    <wps:wsp>
                      <wps:cNvCnPr/>
                      <wps:spPr>
                        <a:xfrm>
                          <a:off x="2374200" y="3779683"/>
                          <a:ext cx="5943600" cy="635"/>
                        </a:xfrm>
                        <a:prstGeom prst="straightConnector1">
                          <a:avLst/>
                        </a:prstGeom>
                        <a:noFill/>
                        <a:ln w="22225" cap="flat" cmpd="sng">
                          <a:solidFill>
                            <a:srgbClr val="D4D4D4"/>
                          </a:solidFill>
                          <a:prstDash val="solid"/>
                          <a:round/>
                          <a:headEnd type="none" w="sm" len="sm"/>
                          <a:tailEnd type="none" w="sm" len="sm"/>
                        </a:ln>
                        <a:effectLst>
                          <a:outerShdw dist="12700" dir="16200000" algn="ctr" rotWithShape="0">
                            <a:srgbClr val="808080"/>
                          </a:outerShdw>
                        </a:effectLst>
                      </wps:spPr>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-3809</wp:posOffset>
                </wp:positionH>
                <wp:positionV relativeFrom="paragraph">
                  <wp:posOffset>-127950</wp:posOffset>
                </wp:positionV>
                <wp:extent cx="635" cy="22225"/>
                <wp:effectExtent b="0" l="0" r="0" t="0"/>
                <wp:wrapNone/>
                <wp:docPr id="8" name="image3.png"/>
                <a:graphic>
                  <a:graphicData uri="http://schemas.openxmlformats.org/drawingml/2006/picture">
                    <pic:pic>
                      <pic:nvPicPr>
                        <pic:cNvPr id="0" name="image3.png"/>
                        <pic:cNvPicPr preferRelativeResize="0"/>
                      </pic:nvPicPr>
                      <pic:blipFill>
                        <a:blip r:embed="rId8"/>
                        <a:srcRect/>
                        <a:stretch>
                          <a:fillRect/>
                        </a:stretch>
                      </pic:blipFill>
                      <pic:spPr>
                        <a:xfrm>
                          <a:off x="0" y="0"/>
                          <a:ext cx="635" cy="22225"/>
                        </a:xfrm>
                        <a:prstGeom prst="rect"/>
                        <a:ln/>
                      </pic:spPr>
                    </pic:pic>
                  </a:graphicData>
                </a:graphic>
              </wp:anchor>
            </w:drawing>
          </mc:Fallback>
        </mc:AlternateContent>
      </w:r>
    </w:p>
    <w:p w14:paraId="3338A4B6" w14:textId="77777777" w:rsidR="00DE12AF" w:rsidRDefault="004335FD">
      <w:pPr>
        <w:keepNext/>
        <w:keepLines/>
        <w:widowControl/>
        <w:pBdr>
          <w:top w:val="nil"/>
          <w:left w:val="nil"/>
          <w:bottom w:val="nil"/>
          <w:right w:val="nil"/>
          <w:between w:val="nil"/>
        </w:pBdr>
        <w:ind w:left="426" w:hanging="426"/>
        <w:rPr>
          <w:b/>
          <w:bCs/>
          <w:color w:val="000000"/>
          <w:sz w:val="22"/>
          <w:szCs w:val="22"/>
        </w:rPr>
      </w:pPr>
      <w:r>
        <w:rPr>
          <w:b/>
          <w:bCs/>
          <w:color w:val="000000"/>
          <w:sz w:val="22"/>
          <w:szCs w:val="22"/>
        </w:rPr>
        <w:t>10.</w:t>
      </w:r>
      <w:r>
        <w:rPr>
          <w:b/>
          <w:bCs/>
          <w:color w:val="000000"/>
          <w:sz w:val="22"/>
          <w:szCs w:val="22"/>
        </w:rPr>
        <w:tab/>
      </w:r>
      <w:r>
        <w:rPr>
          <w:b/>
          <w:bCs/>
          <w:color w:val="000000"/>
          <w:sz w:val="22"/>
          <w:szCs w:val="22"/>
        </w:rPr>
        <w:t>Legal basis, eligibility and rules of origin</w:t>
      </w:r>
    </w:p>
    <w:p w14:paraId="1F13A2E0" w14:textId="77777777" w:rsidR="00DE12AF" w:rsidRDefault="004335FD">
      <w:pPr>
        <w:keepNext/>
        <w:keepLines/>
        <w:widowControl/>
        <w:pBdr>
          <w:top w:val="nil"/>
          <w:left w:val="nil"/>
          <w:bottom w:val="nil"/>
          <w:right w:val="nil"/>
          <w:between w:val="nil"/>
        </w:pBdr>
        <w:ind w:firstLine="426"/>
        <w:jc w:val="center"/>
        <w:rPr>
          <w:b/>
          <w:bCs/>
          <w:color w:val="000000"/>
          <w:sz w:val="22"/>
          <w:szCs w:val="22"/>
        </w:rPr>
      </w:pPr>
      <w:r>
        <w:rPr>
          <w:b/>
          <w:bCs/>
          <w:color w:val="000000"/>
          <w:sz w:val="22"/>
          <w:szCs w:val="22"/>
        </w:rPr>
        <w:t>*****</w:t>
      </w:r>
    </w:p>
    <w:p w14:paraId="4F5C2D29" w14:textId="77777777" w:rsidR="00DE12AF" w:rsidRDefault="00DE12AF">
      <w:pPr>
        <w:keepNext/>
        <w:keepLines/>
        <w:widowControl/>
        <w:pBdr>
          <w:top w:val="nil"/>
          <w:left w:val="nil"/>
          <w:bottom w:val="nil"/>
          <w:right w:val="nil"/>
          <w:between w:val="nil"/>
        </w:pBdr>
        <w:spacing w:before="0" w:after="120"/>
        <w:rPr>
          <w:color w:val="000000"/>
          <w:sz w:val="22"/>
          <w:szCs w:val="22"/>
          <w:highlight w:val="lightGray"/>
        </w:rPr>
      </w:pPr>
    </w:p>
    <w:p w14:paraId="1E3D6A2B" w14:textId="77777777" w:rsidR="00DE12AF" w:rsidRDefault="004335FD">
      <w:pPr>
        <w:widowControl/>
        <w:pBdr>
          <w:top w:val="nil"/>
          <w:left w:val="nil"/>
          <w:bottom w:val="nil"/>
          <w:right w:val="nil"/>
          <w:between w:val="nil"/>
        </w:pBdr>
        <w:spacing w:before="0" w:after="0"/>
        <w:jc w:val="both"/>
        <w:rPr>
          <w:rFonts w:ascii="Quattrocento Sans" w:eastAsia="Quattrocento Sans" w:hAnsi="Quattrocento Sans" w:cs="Quattrocento Sans"/>
          <w:color w:val="000000"/>
          <w:sz w:val="22"/>
          <w:szCs w:val="22"/>
        </w:rPr>
      </w:pPr>
      <w:r>
        <w:rPr>
          <w:color w:val="000000"/>
          <w:sz w:val="22"/>
          <w:szCs w:val="22"/>
        </w:rPr>
        <w:t>The legal basis of this procedure is Regulation (EU) No 2021/1529 establishing the Instrument for Pre-accession Assistance (IPA III). See Annex a2a1 of the practical guide.</w:t>
      </w:r>
    </w:p>
    <w:p w14:paraId="351EB928" w14:textId="77777777" w:rsidR="00DE12AF" w:rsidRDefault="004335FD">
      <w:pPr>
        <w:widowControl/>
        <w:pBdr>
          <w:top w:val="nil"/>
          <w:left w:val="nil"/>
          <w:bottom w:val="nil"/>
          <w:right w:val="nil"/>
          <w:between w:val="nil"/>
        </w:pBdr>
        <w:spacing w:before="0" w:after="200"/>
        <w:jc w:val="both"/>
        <w:rPr>
          <w:color w:val="000000"/>
          <w:sz w:val="22"/>
          <w:szCs w:val="22"/>
        </w:rPr>
      </w:pPr>
      <w:r>
        <w:rPr>
          <w:color w:val="000000"/>
          <w:sz w:val="22"/>
          <w:szCs w:val="22"/>
        </w:rPr>
        <w:t xml:space="preserve">For this contract award procedure, participation is open to all natural persons who are nationals of and legal persons (participating either individually or in a grouping – consortium – of candidates/tenderers) which are effectively established in </w:t>
      </w:r>
      <w:proofErr w:type="gramStart"/>
      <w:r>
        <w:rPr>
          <w:color w:val="000000"/>
          <w:sz w:val="22"/>
          <w:szCs w:val="22"/>
        </w:rPr>
        <w:t>a  Member</w:t>
      </w:r>
      <w:proofErr w:type="gramEnd"/>
      <w:r>
        <w:rPr>
          <w:color w:val="000000"/>
          <w:sz w:val="22"/>
          <w:szCs w:val="22"/>
        </w:rPr>
        <w:t xml:space="preserve"> State of the European Union or in an eligible country or territory as defined under Article 11 of Regulation (EU) No 2021/</w:t>
      </w:r>
      <w:proofErr w:type="gramStart"/>
      <w:r>
        <w:rPr>
          <w:color w:val="000000"/>
          <w:sz w:val="22"/>
          <w:szCs w:val="22"/>
        </w:rPr>
        <w:t>1529  establishing</w:t>
      </w:r>
      <w:proofErr w:type="gramEnd"/>
      <w:r>
        <w:rPr>
          <w:color w:val="000000"/>
          <w:sz w:val="22"/>
          <w:szCs w:val="22"/>
        </w:rPr>
        <w:t xml:space="preserve"> the Instrument for Pre-accession Assistance (IPA III).</w:t>
      </w:r>
    </w:p>
    <w:p w14:paraId="76B1FC95" w14:textId="77777777" w:rsidR="00DE12AF" w:rsidRDefault="004335FD">
      <w:pPr>
        <w:spacing w:before="0" w:after="240"/>
        <w:jc w:val="both"/>
        <w:rPr>
          <w:sz w:val="22"/>
          <w:szCs w:val="22"/>
        </w:rPr>
      </w:pPr>
      <w:r>
        <w:rPr>
          <w:sz w:val="22"/>
          <w:szCs w:val="22"/>
        </w:rPr>
        <w:t>Participation is also open to international and regional organisations.</w:t>
      </w:r>
    </w:p>
    <w:p w14:paraId="2533E428" w14:textId="77777777" w:rsidR="00DE12AF" w:rsidRDefault="004335FD">
      <w:pPr>
        <w:spacing w:before="0" w:after="120"/>
        <w:jc w:val="both"/>
        <w:rPr>
          <w:color w:val="000000"/>
          <w:sz w:val="22"/>
          <w:szCs w:val="22"/>
        </w:rPr>
      </w:pPr>
      <w:r>
        <w:rPr>
          <w:color w:val="000000"/>
          <w:sz w:val="22"/>
          <w:szCs w:val="22"/>
        </w:rPr>
        <w:t xml:space="preserve">All supplies and materials under this contract may originate in any country. </w:t>
      </w:r>
    </w:p>
    <w:p w14:paraId="52C4881B" w14:textId="77777777" w:rsidR="00DE12AF" w:rsidRDefault="004335FD">
      <w:pPr>
        <w:spacing w:before="240"/>
        <w:ind w:left="426" w:hanging="426"/>
        <w:rPr>
          <w:sz w:val="22"/>
          <w:szCs w:val="22"/>
        </w:rPr>
      </w:pPr>
      <w:bookmarkStart w:id="0" w:name="_heading=h.b8eftmclvzms" w:colFirst="0" w:colLast="0"/>
      <w:bookmarkEnd w:id="0"/>
      <w:r>
        <w:rPr>
          <w:b/>
          <w:bCs/>
          <w:sz w:val="22"/>
          <w:szCs w:val="22"/>
        </w:rPr>
        <w:t>11.</w:t>
      </w:r>
      <w:r>
        <w:rPr>
          <w:b/>
          <w:bCs/>
          <w:sz w:val="22"/>
          <w:szCs w:val="22"/>
        </w:rPr>
        <w:tab/>
        <w:t>Number of tenders</w:t>
      </w:r>
    </w:p>
    <w:p w14:paraId="58A648C7" w14:textId="77777777" w:rsidR="00DE12AF" w:rsidRDefault="004335FD">
      <w:pPr>
        <w:pBdr>
          <w:top w:val="nil"/>
          <w:left w:val="nil"/>
          <w:bottom w:val="nil"/>
          <w:right w:val="nil"/>
          <w:between w:val="nil"/>
        </w:pBdr>
        <w:ind w:right="26"/>
        <w:jc w:val="both"/>
        <w:rPr>
          <w:color w:val="000000"/>
          <w:sz w:val="22"/>
          <w:szCs w:val="22"/>
        </w:rPr>
      </w:pPr>
      <w:r>
        <w:rPr>
          <w:color w:val="000000"/>
          <w:sz w:val="22"/>
          <w:szCs w:val="22"/>
        </w:rPr>
        <w:t>No more than one tender can be submitted by a natural or legal person whatever the form of participation (as an individual legal entity or as leader or member of a consortium submitting a tender).  In the event that a natural or legal person submits more than one tender, all tenders in which that person has participated will be excluded.</w:t>
      </w:r>
    </w:p>
    <w:p w14:paraId="7E42D361" w14:textId="77777777" w:rsidR="00DE12AF" w:rsidRDefault="004335FD">
      <w:pPr>
        <w:ind w:left="426" w:hanging="426"/>
        <w:rPr>
          <w:sz w:val="22"/>
          <w:szCs w:val="22"/>
        </w:rPr>
      </w:pPr>
      <w:r>
        <w:rPr>
          <w:b/>
          <w:bCs/>
          <w:sz w:val="22"/>
          <w:szCs w:val="22"/>
        </w:rPr>
        <w:t>12.</w:t>
      </w:r>
      <w:r>
        <w:rPr>
          <w:b/>
          <w:bCs/>
          <w:sz w:val="22"/>
          <w:szCs w:val="22"/>
        </w:rPr>
        <w:tab/>
        <w:t>Grounds for exclusion</w:t>
      </w:r>
    </w:p>
    <w:p w14:paraId="64B42F51" w14:textId="77777777" w:rsidR="00DE12AF" w:rsidRDefault="004335FD">
      <w:pPr>
        <w:pBdr>
          <w:top w:val="nil"/>
          <w:left w:val="nil"/>
          <w:bottom w:val="nil"/>
          <w:right w:val="nil"/>
          <w:between w:val="nil"/>
        </w:pBdr>
        <w:ind w:right="26"/>
        <w:jc w:val="both"/>
        <w:rPr>
          <w:color w:val="000000"/>
          <w:sz w:val="22"/>
          <w:szCs w:val="22"/>
        </w:rPr>
      </w:pPr>
      <w:bookmarkStart w:id="1" w:name="_heading=h.5obhc5ard8r1" w:colFirst="0" w:colLast="0"/>
      <w:bookmarkEnd w:id="1"/>
      <w:r>
        <w:rPr>
          <w:color w:val="000000"/>
          <w:sz w:val="22"/>
          <w:szCs w:val="22"/>
        </w:rPr>
        <w:t>As part of the tender, tenderers must submit a signed declaration, included in the tender form, to the effect that they are not in any of the exclusion situations listed in Section 2.4.2.1. of the practical guide. Where the tenderer intends to rely on capacity providing entities or subcontractor(s), he/she must provide the same declaration signed by this/these entity(</w:t>
      </w:r>
      <w:proofErr w:type="spellStart"/>
      <w:r>
        <w:rPr>
          <w:color w:val="000000"/>
          <w:sz w:val="22"/>
          <w:szCs w:val="22"/>
        </w:rPr>
        <w:t>ies</w:t>
      </w:r>
      <w:proofErr w:type="spellEnd"/>
      <w:r>
        <w:rPr>
          <w:color w:val="000000"/>
          <w:sz w:val="22"/>
          <w:szCs w:val="22"/>
        </w:rPr>
        <w:t>).</w:t>
      </w:r>
    </w:p>
    <w:p w14:paraId="6F8812A9" w14:textId="77777777" w:rsidR="00DE12AF" w:rsidRDefault="004335FD">
      <w:pPr>
        <w:pBdr>
          <w:top w:val="nil"/>
          <w:left w:val="nil"/>
          <w:bottom w:val="nil"/>
          <w:right w:val="nil"/>
          <w:between w:val="nil"/>
        </w:pBdr>
        <w:spacing w:after="240"/>
        <w:ind w:right="357"/>
        <w:jc w:val="both"/>
        <w:rPr>
          <w:color w:val="000000"/>
          <w:sz w:val="22"/>
          <w:szCs w:val="22"/>
        </w:rPr>
      </w:pPr>
      <w:r>
        <w:rPr>
          <w:color w:val="000000"/>
          <w:sz w:val="22"/>
          <w:szCs w:val="22"/>
        </w:rPr>
        <w:t>Tenderer included in the lists of EU restrictive measures</w:t>
      </w:r>
      <w:r>
        <w:rPr>
          <w:color w:val="000000"/>
          <w:sz w:val="22"/>
          <w:szCs w:val="22"/>
          <w:vertAlign w:val="superscript"/>
        </w:rPr>
        <w:footnoteReference w:id="1"/>
      </w:r>
      <w:r>
        <w:rPr>
          <w:color w:val="000000"/>
          <w:sz w:val="22"/>
          <w:szCs w:val="22"/>
        </w:rPr>
        <w:t xml:space="preserve"> (see Section 2.4. of the PRAG) at the moment of the award decision cannot be awarded the contract. </w:t>
      </w:r>
    </w:p>
    <w:p w14:paraId="5240CE3C" w14:textId="77777777" w:rsidR="00DE12AF" w:rsidRDefault="004335FD">
      <w:pPr>
        <w:ind w:left="426" w:hanging="426"/>
        <w:rPr>
          <w:sz w:val="22"/>
          <w:szCs w:val="22"/>
        </w:rPr>
      </w:pPr>
      <w:r>
        <w:rPr>
          <w:b/>
          <w:bCs/>
          <w:sz w:val="22"/>
          <w:szCs w:val="22"/>
        </w:rPr>
        <w:t xml:space="preserve">13. </w:t>
      </w:r>
      <w:r>
        <w:rPr>
          <w:b/>
          <w:bCs/>
          <w:sz w:val="22"/>
          <w:szCs w:val="22"/>
        </w:rPr>
        <w:tab/>
        <w:t>Sub-contracting</w:t>
      </w:r>
    </w:p>
    <w:p w14:paraId="1B34C2EB" w14:textId="77777777" w:rsidR="00DE12AF" w:rsidRDefault="004335FD">
      <w:pPr>
        <w:spacing w:after="360"/>
        <w:rPr>
          <w:sz w:val="22"/>
          <w:szCs w:val="22"/>
        </w:rPr>
      </w:pPr>
      <w:r>
        <w:rPr>
          <w:sz w:val="22"/>
          <w:szCs w:val="22"/>
        </w:rPr>
        <w:t>Subcontracting is allowed.</w:t>
      </w:r>
      <w:r>
        <w:rPr>
          <w:noProof/>
        </w:rPr>
        <mc:AlternateContent>
          <mc:Choice Requires="wps">
            <w:drawing>
              <wp:anchor distT="0" distB="0" distL="114300" distR="114300" simplePos="0" relativeHeight="251660288" behindDoc="0" locked="0" layoutInCell="1" hidden="0" allowOverlap="1" wp14:anchorId="666A793A" wp14:editId="1DB98A40">
                <wp:simplePos x="0" y="0"/>
                <wp:positionH relativeFrom="column">
                  <wp:posOffset>19051</wp:posOffset>
                </wp:positionH>
                <wp:positionV relativeFrom="paragraph">
                  <wp:posOffset>353378</wp:posOffset>
                </wp:positionV>
                <wp:extent cx="635" cy="22225"/>
                <wp:effectExtent l="0" t="0" r="0" b="0"/>
                <wp:wrapNone/>
                <wp:docPr id="7" name="Straight Arrow Connector 7"/>
                <wp:cNvGraphicFramePr/>
                <a:graphic xmlns:a="http://schemas.openxmlformats.org/drawingml/2006/main">
                  <a:graphicData uri="http://schemas.microsoft.com/office/word/2010/wordprocessingShape">
                    <wps:wsp>
                      <wps:cNvCnPr/>
                      <wps:spPr>
                        <a:xfrm>
                          <a:off x="2374200" y="3779683"/>
                          <a:ext cx="5943600" cy="635"/>
                        </a:xfrm>
                        <a:prstGeom prst="straightConnector1">
                          <a:avLst/>
                        </a:prstGeom>
                        <a:noFill/>
                        <a:ln w="22225" cap="flat" cmpd="sng">
                          <a:solidFill>
                            <a:srgbClr val="D4D4D4"/>
                          </a:solidFill>
                          <a:prstDash val="solid"/>
                          <a:round/>
                          <a:headEnd type="none" w="sm" len="sm"/>
                          <a:tailEnd type="none" w="sm" len="sm"/>
                        </a:ln>
                        <a:effectLst>
                          <a:outerShdw dist="12700" dir="16200000" algn="ctr" rotWithShape="0">
                            <a:srgbClr val="808080"/>
                          </a:outerShdw>
                        </a:effectLst>
                      </wps:spPr>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19051</wp:posOffset>
                </wp:positionH>
                <wp:positionV relativeFrom="paragraph">
                  <wp:posOffset>353378</wp:posOffset>
                </wp:positionV>
                <wp:extent cx="635" cy="22225"/>
                <wp:effectExtent b="0" l="0" r="0" t="0"/>
                <wp:wrapNone/>
                <wp:docPr id="7" name="image2.png"/>
                <a:graphic>
                  <a:graphicData uri="http://schemas.openxmlformats.org/drawingml/2006/picture">
                    <pic:pic>
                      <pic:nvPicPr>
                        <pic:cNvPr id="0" name="image2.png"/>
                        <pic:cNvPicPr preferRelativeResize="0"/>
                      </pic:nvPicPr>
                      <pic:blipFill>
                        <a:blip r:embed="rId8"/>
                        <a:srcRect/>
                        <a:stretch>
                          <a:fillRect/>
                        </a:stretch>
                      </pic:blipFill>
                      <pic:spPr>
                        <a:xfrm>
                          <a:off x="0" y="0"/>
                          <a:ext cx="635" cy="22225"/>
                        </a:xfrm>
                        <a:prstGeom prst="rect"/>
                        <a:ln/>
                      </pic:spPr>
                    </pic:pic>
                  </a:graphicData>
                </a:graphic>
              </wp:anchor>
            </w:drawing>
          </mc:Fallback>
        </mc:AlternateContent>
      </w:r>
    </w:p>
    <w:p w14:paraId="52267328" w14:textId="77777777" w:rsidR="00DE12AF" w:rsidRDefault="004335FD">
      <w:pPr>
        <w:keepNext/>
        <w:jc w:val="center"/>
        <w:rPr>
          <w:sz w:val="28"/>
          <w:szCs w:val="28"/>
        </w:rPr>
      </w:pPr>
      <w:r>
        <w:rPr>
          <w:b/>
          <w:bCs/>
          <w:sz w:val="28"/>
          <w:szCs w:val="28"/>
        </w:rPr>
        <w:t>PROVISIONAL TIMETABLE</w:t>
      </w:r>
    </w:p>
    <w:p w14:paraId="281CB1CE" w14:textId="77777777" w:rsidR="00DE12AF" w:rsidRPr="00DA6CD3" w:rsidRDefault="004335FD">
      <w:pPr>
        <w:ind w:left="426" w:hanging="426"/>
        <w:rPr>
          <w:sz w:val="22"/>
          <w:szCs w:val="22"/>
          <w:highlight w:val="yellow"/>
        </w:rPr>
      </w:pPr>
      <w:r w:rsidRPr="00DA6CD3">
        <w:rPr>
          <w:b/>
          <w:bCs/>
          <w:sz w:val="22"/>
          <w:szCs w:val="22"/>
          <w:highlight w:val="yellow"/>
        </w:rPr>
        <w:t xml:space="preserve">14. </w:t>
      </w:r>
      <w:r w:rsidRPr="00DA6CD3">
        <w:rPr>
          <w:b/>
          <w:bCs/>
          <w:sz w:val="22"/>
          <w:szCs w:val="22"/>
          <w:highlight w:val="yellow"/>
        </w:rPr>
        <w:tab/>
        <w:t>Provisional commencement date of the contract</w:t>
      </w:r>
    </w:p>
    <w:p w14:paraId="6FDDF15E" w14:textId="62658FDB" w:rsidR="00DE12AF" w:rsidRPr="00DA6CD3" w:rsidRDefault="00DA6CD3">
      <w:pPr>
        <w:pBdr>
          <w:top w:val="nil"/>
          <w:left w:val="nil"/>
          <w:bottom w:val="nil"/>
          <w:right w:val="nil"/>
          <w:between w:val="nil"/>
        </w:pBdr>
        <w:ind w:left="426" w:right="360" w:hanging="426"/>
        <w:jc w:val="both"/>
        <w:rPr>
          <w:i/>
          <w:iCs/>
          <w:color w:val="000000"/>
          <w:sz w:val="22"/>
          <w:szCs w:val="22"/>
          <w:highlight w:val="yellow"/>
          <w:u w:val="single"/>
        </w:rPr>
      </w:pPr>
      <w:r w:rsidRPr="00DA6CD3">
        <w:rPr>
          <w:color w:val="000000"/>
          <w:sz w:val="22"/>
          <w:szCs w:val="22"/>
          <w:highlight w:val="yellow"/>
          <w:u w:val="single"/>
        </w:rPr>
        <w:t>12</w:t>
      </w:r>
      <w:r w:rsidR="004335FD" w:rsidRPr="00DA6CD3">
        <w:rPr>
          <w:color w:val="000000"/>
          <w:sz w:val="22"/>
          <w:szCs w:val="22"/>
          <w:highlight w:val="yellow"/>
          <w:u w:val="single"/>
        </w:rPr>
        <w:t>.0</w:t>
      </w:r>
      <w:r w:rsidRPr="00DA6CD3">
        <w:rPr>
          <w:color w:val="000000"/>
          <w:sz w:val="22"/>
          <w:szCs w:val="22"/>
          <w:highlight w:val="yellow"/>
          <w:u w:val="single"/>
        </w:rPr>
        <w:t>3</w:t>
      </w:r>
      <w:r w:rsidR="004335FD" w:rsidRPr="00DA6CD3">
        <w:rPr>
          <w:color w:val="000000"/>
          <w:sz w:val="22"/>
          <w:szCs w:val="22"/>
          <w:highlight w:val="yellow"/>
          <w:u w:val="single"/>
        </w:rPr>
        <w:t>.2026.</w:t>
      </w:r>
    </w:p>
    <w:p w14:paraId="30819291" w14:textId="77777777" w:rsidR="00DE12AF" w:rsidRPr="00DA6CD3" w:rsidRDefault="004335FD">
      <w:pPr>
        <w:ind w:left="426" w:hanging="426"/>
        <w:rPr>
          <w:sz w:val="22"/>
          <w:szCs w:val="22"/>
          <w:highlight w:val="yellow"/>
        </w:rPr>
      </w:pPr>
      <w:r w:rsidRPr="00DA6CD3">
        <w:rPr>
          <w:b/>
          <w:bCs/>
          <w:sz w:val="22"/>
          <w:szCs w:val="22"/>
          <w:highlight w:val="yellow"/>
        </w:rPr>
        <w:t xml:space="preserve">15. </w:t>
      </w:r>
      <w:r w:rsidRPr="00DA6CD3">
        <w:rPr>
          <w:b/>
          <w:bCs/>
          <w:sz w:val="22"/>
          <w:szCs w:val="22"/>
          <w:highlight w:val="yellow"/>
        </w:rPr>
        <w:tab/>
        <w:t xml:space="preserve">Implementation period of the tasks </w:t>
      </w:r>
    </w:p>
    <w:p w14:paraId="75E0A268" w14:textId="12D57086" w:rsidR="00DE12AF" w:rsidRDefault="00DA6CD3">
      <w:pPr>
        <w:pBdr>
          <w:top w:val="nil"/>
          <w:left w:val="nil"/>
          <w:bottom w:val="nil"/>
          <w:right w:val="nil"/>
          <w:between w:val="nil"/>
        </w:pBdr>
        <w:ind w:left="426" w:right="360" w:hanging="426"/>
        <w:jc w:val="both"/>
        <w:rPr>
          <w:i/>
          <w:iCs/>
          <w:color w:val="000000"/>
          <w:sz w:val="22"/>
          <w:szCs w:val="22"/>
          <w:u w:val="single"/>
        </w:rPr>
      </w:pPr>
      <w:proofErr w:type="gramStart"/>
      <w:r w:rsidRPr="00DA6CD3">
        <w:rPr>
          <w:color w:val="000000"/>
          <w:sz w:val="22"/>
          <w:szCs w:val="22"/>
          <w:highlight w:val="yellow"/>
          <w:u w:val="single"/>
        </w:rPr>
        <w:t xml:space="preserve">March </w:t>
      </w:r>
      <w:r w:rsidR="004335FD" w:rsidRPr="00DA6CD3">
        <w:rPr>
          <w:color w:val="000000"/>
          <w:sz w:val="22"/>
          <w:szCs w:val="22"/>
          <w:highlight w:val="yellow"/>
          <w:u w:val="single"/>
        </w:rPr>
        <w:t xml:space="preserve"> </w:t>
      </w:r>
      <w:r w:rsidRPr="00DA6CD3">
        <w:rPr>
          <w:color w:val="000000"/>
          <w:sz w:val="22"/>
          <w:szCs w:val="22"/>
          <w:highlight w:val="yellow"/>
          <w:u w:val="single"/>
        </w:rPr>
        <w:t>12</w:t>
      </w:r>
      <w:r w:rsidR="004335FD" w:rsidRPr="00DA6CD3">
        <w:rPr>
          <w:color w:val="000000"/>
          <w:sz w:val="22"/>
          <w:szCs w:val="22"/>
          <w:highlight w:val="yellow"/>
          <w:u w:val="single"/>
          <w:vertAlign w:val="superscript"/>
        </w:rPr>
        <w:t>th</w:t>
      </w:r>
      <w:r w:rsidRPr="00DA6CD3">
        <w:rPr>
          <w:color w:val="000000"/>
          <w:sz w:val="22"/>
          <w:szCs w:val="22"/>
          <w:highlight w:val="yellow"/>
          <w:u w:val="single"/>
          <w:vertAlign w:val="superscript"/>
        </w:rPr>
        <w:t xml:space="preserve"> </w:t>
      </w:r>
      <w:r w:rsidR="004335FD" w:rsidRPr="00DA6CD3">
        <w:rPr>
          <w:color w:val="000000"/>
          <w:sz w:val="22"/>
          <w:szCs w:val="22"/>
          <w:highlight w:val="yellow"/>
          <w:u w:val="single"/>
        </w:rPr>
        <w:t xml:space="preserve"> –</w:t>
      </w:r>
      <w:proofErr w:type="gramEnd"/>
      <w:r w:rsidR="004335FD" w:rsidRPr="00DA6CD3">
        <w:rPr>
          <w:color w:val="000000"/>
          <w:sz w:val="22"/>
          <w:szCs w:val="22"/>
          <w:highlight w:val="yellow"/>
          <w:u w:val="single"/>
        </w:rPr>
        <w:t xml:space="preserve"> June </w:t>
      </w:r>
      <w:r w:rsidRPr="00DA6CD3">
        <w:rPr>
          <w:color w:val="000000"/>
          <w:sz w:val="22"/>
          <w:szCs w:val="22"/>
          <w:highlight w:val="yellow"/>
          <w:u w:val="single"/>
        </w:rPr>
        <w:t>30</w:t>
      </w:r>
      <w:proofErr w:type="gramStart"/>
      <w:r w:rsidR="004335FD" w:rsidRPr="00DA6CD3">
        <w:rPr>
          <w:color w:val="000000"/>
          <w:sz w:val="22"/>
          <w:szCs w:val="22"/>
          <w:highlight w:val="yellow"/>
          <w:u w:val="single"/>
          <w:vertAlign w:val="superscript"/>
        </w:rPr>
        <w:t>th</w:t>
      </w:r>
      <w:r w:rsidR="004335FD" w:rsidRPr="00DA6CD3">
        <w:rPr>
          <w:color w:val="000000"/>
          <w:sz w:val="22"/>
          <w:szCs w:val="22"/>
          <w:highlight w:val="yellow"/>
          <w:u w:val="single"/>
        </w:rPr>
        <w:t xml:space="preserve">  (</w:t>
      </w:r>
      <w:proofErr w:type="gramEnd"/>
      <w:r w:rsidRPr="00DA6CD3">
        <w:rPr>
          <w:color w:val="000000"/>
          <w:sz w:val="22"/>
          <w:szCs w:val="22"/>
          <w:highlight w:val="yellow"/>
          <w:u w:val="single"/>
        </w:rPr>
        <w:t xml:space="preserve"> 3 months and 18 </w:t>
      </w:r>
      <w:proofErr w:type="gramStart"/>
      <w:r w:rsidRPr="00DA6CD3">
        <w:rPr>
          <w:color w:val="000000"/>
          <w:sz w:val="22"/>
          <w:szCs w:val="22"/>
          <w:highlight w:val="yellow"/>
          <w:u w:val="single"/>
        </w:rPr>
        <w:t xml:space="preserve">days </w:t>
      </w:r>
      <w:r w:rsidR="004335FD" w:rsidRPr="00DA6CD3">
        <w:rPr>
          <w:color w:val="000000"/>
          <w:sz w:val="22"/>
          <w:szCs w:val="22"/>
          <w:highlight w:val="yellow"/>
          <w:u w:val="single"/>
        </w:rPr>
        <w:t>)</w:t>
      </w:r>
      <w:proofErr w:type="gramEnd"/>
      <w:r w:rsidR="004335FD">
        <w:rPr>
          <w:color w:val="000000"/>
          <w:sz w:val="22"/>
          <w:szCs w:val="22"/>
          <w:u w:val="single"/>
        </w:rPr>
        <w:t xml:space="preserve"> </w:t>
      </w:r>
    </w:p>
    <w:p w14:paraId="45C378E6" w14:textId="77777777" w:rsidR="00DE12AF" w:rsidRDefault="004335FD">
      <w:pPr>
        <w:rPr>
          <w:sz w:val="22"/>
          <w:szCs w:val="22"/>
        </w:rPr>
      </w:pPr>
      <w:r>
        <w:rPr>
          <w:noProof/>
        </w:rPr>
        <mc:AlternateContent>
          <mc:Choice Requires="wps">
            <w:drawing>
              <wp:anchor distT="0" distB="0" distL="114300" distR="114300" simplePos="0" relativeHeight="251661312" behindDoc="0" locked="0" layoutInCell="1" hidden="0" allowOverlap="1" wp14:anchorId="71F98D77" wp14:editId="0DB514BB">
                <wp:simplePos x="0" y="0"/>
                <wp:positionH relativeFrom="column">
                  <wp:posOffset>1</wp:posOffset>
                </wp:positionH>
                <wp:positionV relativeFrom="paragraph">
                  <wp:posOffset>227013</wp:posOffset>
                </wp:positionV>
                <wp:extent cx="635" cy="22225"/>
                <wp:effectExtent l="0" t="0" r="0" b="0"/>
                <wp:wrapNone/>
                <wp:docPr id="6" name="Straight Arrow Connector 6"/>
                <wp:cNvGraphicFramePr/>
                <a:graphic xmlns:a="http://schemas.openxmlformats.org/drawingml/2006/main">
                  <a:graphicData uri="http://schemas.microsoft.com/office/word/2010/wordprocessingShape">
                    <wps:wsp>
                      <wps:cNvCnPr/>
                      <wps:spPr>
                        <a:xfrm>
                          <a:off x="2374200" y="3779683"/>
                          <a:ext cx="5943600" cy="635"/>
                        </a:xfrm>
                        <a:prstGeom prst="straightConnector1">
                          <a:avLst/>
                        </a:prstGeom>
                        <a:noFill/>
                        <a:ln w="22225" cap="flat" cmpd="sng">
                          <a:solidFill>
                            <a:srgbClr val="D4D4D4"/>
                          </a:solidFill>
                          <a:prstDash val="solid"/>
                          <a:round/>
                          <a:headEnd type="none" w="sm" len="sm"/>
                          <a:tailEnd type="none" w="sm" len="sm"/>
                        </a:ln>
                        <a:effectLst>
                          <a:outerShdw dist="12700" dir="16200000" algn="ctr" rotWithShape="0">
                            <a:srgbClr val="808080"/>
                          </a:outerShdw>
                        </a:effectLst>
                      </wps:spPr>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1</wp:posOffset>
                </wp:positionH>
                <wp:positionV relativeFrom="paragraph">
                  <wp:posOffset>227013</wp:posOffset>
                </wp:positionV>
                <wp:extent cx="635" cy="22225"/>
                <wp:effectExtent b="0" l="0" r="0" t="0"/>
                <wp:wrapNone/>
                <wp:docPr id="6" name="image1.png"/>
                <a:graphic>
                  <a:graphicData uri="http://schemas.openxmlformats.org/drawingml/2006/picture">
                    <pic:pic>
                      <pic:nvPicPr>
                        <pic:cNvPr id="0" name="image1.png"/>
                        <pic:cNvPicPr preferRelativeResize="0"/>
                      </pic:nvPicPr>
                      <pic:blipFill>
                        <a:blip r:embed="rId8"/>
                        <a:srcRect/>
                        <a:stretch>
                          <a:fillRect/>
                        </a:stretch>
                      </pic:blipFill>
                      <pic:spPr>
                        <a:xfrm>
                          <a:off x="0" y="0"/>
                          <a:ext cx="635" cy="22225"/>
                        </a:xfrm>
                        <a:prstGeom prst="rect"/>
                        <a:ln/>
                      </pic:spPr>
                    </pic:pic>
                  </a:graphicData>
                </a:graphic>
              </wp:anchor>
            </w:drawing>
          </mc:Fallback>
        </mc:AlternateContent>
      </w:r>
    </w:p>
    <w:p w14:paraId="7701F8FA" w14:textId="77777777" w:rsidR="00DE12AF" w:rsidRDefault="004335FD">
      <w:pPr>
        <w:spacing w:after="240"/>
        <w:jc w:val="center"/>
        <w:rPr>
          <w:sz w:val="28"/>
          <w:szCs w:val="28"/>
        </w:rPr>
      </w:pPr>
      <w:r>
        <w:rPr>
          <w:b/>
          <w:bCs/>
          <w:sz w:val="28"/>
          <w:szCs w:val="28"/>
        </w:rPr>
        <w:lastRenderedPageBreak/>
        <w:t>SELECTION AND AWARD CRITERIA</w:t>
      </w:r>
    </w:p>
    <w:p w14:paraId="21B97E77" w14:textId="77777777" w:rsidR="00DE12AF" w:rsidRDefault="004335FD">
      <w:pPr>
        <w:spacing w:after="0"/>
        <w:ind w:left="425" w:hanging="425"/>
        <w:rPr>
          <w:b/>
          <w:bCs/>
          <w:sz w:val="22"/>
          <w:szCs w:val="22"/>
        </w:rPr>
      </w:pPr>
      <w:r>
        <w:rPr>
          <w:b/>
          <w:bCs/>
          <w:sz w:val="22"/>
          <w:szCs w:val="22"/>
        </w:rPr>
        <w:t xml:space="preserve">16. </w:t>
      </w:r>
      <w:r>
        <w:rPr>
          <w:b/>
          <w:bCs/>
          <w:sz w:val="22"/>
          <w:szCs w:val="22"/>
        </w:rPr>
        <w:tab/>
        <w:t>Selection criteria</w:t>
      </w:r>
    </w:p>
    <w:p w14:paraId="64356795" w14:textId="77777777" w:rsidR="00DE12AF" w:rsidRDefault="004335FD">
      <w:pPr>
        <w:widowControl/>
        <w:spacing w:before="120" w:after="0"/>
        <w:jc w:val="both"/>
        <w:rPr>
          <w:sz w:val="22"/>
          <w:szCs w:val="22"/>
        </w:rPr>
      </w:pPr>
      <w:r>
        <w:rPr>
          <w:sz w:val="22"/>
          <w:szCs w:val="22"/>
        </w:rPr>
        <w:t>Capacity-providing entities</w:t>
      </w:r>
    </w:p>
    <w:p w14:paraId="6FD39C7D" w14:textId="77777777" w:rsidR="00DE12AF" w:rsidRDefault="004335FD">
      <w:pPr>
        <w:widowControl/>
        <w:spacing w:before="240" w:after="0"/>
        <w:jc w:val="both"/>
        <w:rPr>
          <w:sz w:val="22"/>
          <w:szCs w:val="22"/>
        </w:rPr>
      </w:pPr>
      <w:r>
        <w:rPr>
          <w:sz w:val="22"/>
          <w:szCs w:val="22"/>
        </w:rPr>
        <w:t>An economic operator (i.e. candidate or tenderer) may, where appropriate and for a particular contract, rely on the capacities of other entities, regardless of the legal nature of the links which it has with them. If the economic operator relies on other entities, it must in that case prove to the contracting authority that it will have at its disposal the resources necessary for the performance of the contract by producing a commitment by those entities to place those resources at its disposal. Such entiti</w:t>
      </w:r>
      <w:r>
        <w:rPr>
          <w:sz w:val="22"/>
          <w:szCs w:val="22"/>
        </w:rPr>
        <w:t xml:space="preserve">es, for instance the parent company of the economic operator, must respect the same rules of eligibility and notably that of nationality as the economic operator relying on them and must fulfil the selection criteria for which the economic operator relies on them. </w:t>
      </w:r>
      <w:r>
        <w:rPr>
          <w:b/>
          <w:bCs/>
          <w:sz w:val="22"/>
          <w:szCs w:val="22"/>
        </w:rPr>
        <w:t>Furthermore, the data for this third entity for the relevant selection criterion should not be included in the tender form but in a separate document</w:t>
      </w:r>
      <w:r>
        <w:rPr>
          <w:sz w:val="22"/>
          <w:szCs w:val="22"/>
        </w:rPr>
        <w:t>. Proof of the capacity will also have to be provided when requested by the contracting authority.</w:t>
      </w:r>
    </w:p>
    <w:p w14:paraId="24274DB0" w14:textId="77777777" w:rsidR="00DE12AF" w:rsidRDefault="004335FD">
      <w:pPr>
        <w:widowControl/>
        <w:spacing w:before="240" w:after="0"/>
        <w:ind w:right="26"/>
        <w:jc w:val="both"/>
        <w:rPr>
          <w:sz w:val="22"/>
          <w:szCs w:val="22"/>
        </w:rPr>
      </w:pPr>
      <w:r>
        <w:rPr>
          <w:sz w:val="22"/>
          <w:szCs w:val="22"/>
        </w:rPr>
        <w:t xml:space="preserve">With regard to technical and professional criteria, an economic operator may only rely on the capacities of other entities where the latter will perform the tasks for which these capacities are required. </w:t>
      </w:r>
    </w:p>
    <w:p w14:paraId="12DC3088" w14:textId="77777777" w:rsidR="00DE12AF" w:rsidRDefault="004335FD">
      <w:pPr>
        <w:widowControl/>
        <w:spacing w:before="240" w:after="0"/>
        <w:ind w:right="26"/>
        <w:jc w:val="both"/>
        <w:rPr>
          <w:sz w:val="22"/>
          <w:szCs w:val="22"/>
          <w:highlight w:val="yellow"/>
        </w:rPr>
      </w:pPr>
      <w:r>
        <w:rPr>
          <w:sz w:val="22"/>
          <w:szCs w:val="22"/>
        </w:rPr>
        <w:t>With regard to economic and financial criteria, the entities upon whose capacity the economic operator relies, become jointly and severally liable for the performance of the contract.</w:t>
      </w:r>
    </w:p>
    <w:p w14:paraId="243E91D9" w14:textId="77777777" w:rsidR="00DE12AF" w:rsidRDefault="004335FD">
      <w:pPr>
        <w:pBdr>
          <w:top w:val="nil"/>
          <w:left w:val="nil"/>
          <w:bottom w:val="nil"/>
          <w:right w:val="nil"/>
          <w:between w:val="nil"/>
        </w:pBdr>
        <w:ind w:right="26"/>
        <w:jc w:val="both"/>
        <w:rPr>
          <w:color w:val="000000"/>
          <w:sz w:val="22"/>
          <w:szCs w:val="22"/>
        </w:rPr>
      </w:pPr>
      <w:r>
        <w:rPr>
          <w:color w:val="000000"/>
          <w:sz w:val="22"/>
          <w:szCs w:val="22"/>
        </w:rPr>
        <w:t xml:space="preserve">The following selection criteria will be applied to the tenderers. </w:t>
      </w:r>
      <w:r>
        <w:rPr>
          <w:b/>
          <w:bCs/>
          <w:color w:val="000000"/>
          <w:sz w:val="22"/>
          <w:szCs w:val="22"/>
        </w:rPr>
        <w:t>In the case of tenders submitted by a consortium, these selection criteria will be applied to the consortium as a whole if not specified otherwise.</w:t>
      </w:r>
      <w:r>
        <w:rPr>
          <w:color w:val="000000"/>
          <w:sz w:val="22"/>
          <w:szCs w:val="22"/>
        </w:rPr>
        <w:t xml:space="preserve"> The selection criteria will not be applied to natural persons and single-member companies when they are sub-contractors.</w:t>
      </w:r>
    </w:p>
    <w:p w14:paraId="0F6DED67" w14:textId="77777777" w:rsidR="00DE12AF" w:rsidRDefault="004335FD">
      <w:pPr>
        <w:pBdr>
          <w:top w:val="nil"/>
          <w:left w:val="nil"/>
          <w:bottom w:val="nil"/>
          <w:right w:val="nil"/>
          <w:between w:val="nil"/>
        </w:pBdr>
        <w:ind w:right="26"/>
        <w:jc w:val="both"/>
        <w:rPr>
          <w:color w:val="000000"/>
          <w:sz w:val="22"/>
          <w:szCs w:val="22"/>
        </w:rPr>
      </w:pPr>
      <w:bookmarkStart w:id="2" w:name="_heading=h.iijs285ibfv" w:colFirst="0" w:colLast="0"/>
      <w:bookmarkEnd w:id="2"/>
      <w:r>
        <w:rPr>
          <w:color w:val="000000"/>
          <w:sz w:val="22"/>
          <w:szCs w:val="22"/>
        </w:rPr>
        <w:t>The tenderer shall not use previous experience which caused breach of contract and termination by a contracting authority as a reference for selection criteria. This is also applicable concerning the previous experience of experts required under a fee-based service contract.</w:t>
      </w:r>
    </w:p>
    <w:p w14:paraId="07394B68" w14:textId="77777777" w:rsidR="00DE12AF" w:rsidRDefault="004335FD">
      <w:pPr>
        <w:widowControl/>
        <w:spacing w:before="120" w:after="120"/>
        <w:ind w:right="26"/>
        <w:jc w:val="both"/>
        <w:rPr>
          <w:sz w:val="22"/>
          <w:szCs w:val="22"/>
        </w:rPr>
      </w:pPr>
      <w:bookmarkStart w:id="3" w:name="_heading=h.ego651kxbb9g" w:colFirst="0" w:colLast="0"/>
      <w:bookmarkEnd w:id="3"/>
      <w:r>
        <w:rPr>
          <w:sz w:val="22"/>
          <w:szCs w:val="22"/>
        </w:rPr>
        <w:t>The selection criteria for each tenderer are as follows:</w:t>
      </w:r>
    </w:p>
    <w:p w14:paraId="3C0E9718" w14:textId="77777777" w:rsidR="00DE12AF" w:rsidRDefault="004335FD">
      <w:pPr>
        <w:pBdr>
          <w:top w:val="nil"/>
          <w:left w:val="nil"/>
          <w:bottom w:val="nil"/>
          <w:right w:val="nil"/>
          <w:between w:val="nil"/>
        </w:pBdr>
        <w:ind w:left="284" w:right="26" w:hanging="284"/>
        <w:jc w:val="both"/>
        <w:rPr>
          <w:color w:val="000000"/>
          <w:sz w:val="22"/>
          <w:szCs w:val="22"/>
        </w:rPr>
      </w:pPr>
      <w:r>
        <w:rPr>
          <w:b/>
          <w:bCs/>
          <w:color w:val="000000"/>
          <w:sz w:val="22"/>
          <w:szCs w:val="22"/>
        </w:rPr>
        <w:t>1)</w:t>
      </w:r>
      <w:r>
        <w:rPr>
          <w:b/>
          <w:bCs/>
          <w:color w:val="000000"/>
          <w:sz w:val="22"/>
          <w:szCs w:val="22"/>
        </w:rPr>
        <w:tab/>
      </w:r>
      <w:r>
        <w:rPr>
          <w:b/>
          <w:bCs/>
          <w:color w:val="000000"/>
          <w:sz w:val="22"/>
          <w:szCs w:val="22"/>
          <w:u w:val="single"/>
        </w:rPr>
        <w:t>Economic and financial capacity of the tenderer</w:t>
      </w:r>
      <w:r>
        <w:rPr>
          <w:b/>
          <w:bCs/>
          <w:color w:val="000000"/>
          <w:sz w:val="22"/>
          <w:szCs w:val="22"/>
        </w:rPr>
        <w:t xml:space="preserve"> (</w:t>
      </w:r>
      <w:r>
        <w:rPr>
          <w:color w:val="000000"/>
          <w:sz w:val="22"/>
          <w:szCs w:val="22"/>
        </w:rPr>
        <w:t xml:space="preserve">based on item 3 of the tender form). In case of tenderer being a public body, equivalent information should be provided. The reference period which will be taken into account will be </w:t>
      </w:r>
      <w:r>
        <w:rPr>
          <w:b/>
          <w:bCs/>
          <w:color w:val="000000"/>
          <w:sz w:val="22"/>
          <w:szCs w:val="22"/>
        </w:rPr>
        <w:t>the last three years for which accounts have been closed.</w:t>
      </w:r>
    </w:p>
    <w:p w14:paraId="16C7440B" w14:textId="77777777" w:rsidR="00DE12AF" w:rsidRDefault="004335FD">
      <w:pPr>
        <w:spacing w:before="0" w:after="120"/>
        <w:ind w:left="284"/>
        <w:rPr>
          <w:b/>
          <w:bCs/>
          <w:sz w:val="22"/>
          <w:szCs w:val="22"/>
        </w:rPr>
      </w:pPr>
      <w:r>
        <w:rPr>
          <w:b/>
          <w:bCs/>
          <w:sz w:val="22"/>
          <w:szCs w:val="22"/>
        </w:rPr>
        <w:t>Criterion 1: average annual turnover</w:t>
      </w:r>
    </w:p>
    <w:p w14:paraId="758A290B" w14:textId="77777777" w:rsidR="00DE12AF" w:rsidRDefault="004335FD">
      <w:pPr>
        <w:spacing w:before="0" w:after="0"/>
        <w:ind w:left="1004"/>
        <w:jc w:val="both"/>
        <w:rPr>
          <w:sz w:val="22"/>
          <w:szCs w:val="22"/>
          <w:u w:val="single"/>
        </w:rPr>
      </w:pPr>
      <w:bookmarkStart w:id="4" w:name="_heading=h.g8fkwfqfedtb" w:colFirst="0" w:colLast="0"/>
      <w:bookmarkEnd w:id="4"/>
      <w:r>
        <w:rPr>
          <w:sz w:val="22"/>
          <w:szCs w:val="22"/>
          <w:u w:val="single"/>
        </w:rPr>
        <w:t xml:space="preserve">The tenderer’s average annual turnover of the </w:t>
      </w:r>
      <w:r>
        <w:rPr>
          <w:b/>
          <w:bCs/>
          <w:sz w:val="22"/>
          <w:szCs w:val="22"/>
          <w:u w:val="single"/>
        </w:rPr>
        <w:t>last 3 financial years</w:t>
      </w:r>
      <w:r>
        <w:rPr>
          <w:sz w:val="22"/>
          <w:szCs w:val="22"/>
          <w:u w:val="single"/>
        </w:rPr>
        <w:t xml:space="preserve"> for which </w:t>
      </w:r>
      <w:r>
        <w:rPr>
          <w:b/>
          <w:bCs/>
          <w:sz w:val="22"/>
          <w:szCs w:val="22"/>
          <w:u w:val="single"/>
        </w:rPr>
        <w:t xml:space="preserve">the accounts have been closed </w:t>
      </w:r>
      <w:r>
        <w:rPr>
          <w:sz w:val="22"/>
          <w:szCs w:val="22"/>
          <w:u w:val="single"/>
        </w:rPr>
        <w:t>must be not less than 40.000,00 EUR.</w:t>
      </w:r>
    </w:p>
    <w:p w14:paraId="50557D09" w14:textId="77777777" w:rsidR="00DE12AF" w:rsidRDefault="004335FD">
      <w:pPr>
        <w:pBdr>
          <w:top w:val="nil"/>
          <w:left w:val="nil"/>
          <w:bottom w:val="nil"/>
          <w:right w:val="nil"/>
          <w:between w:val="nil"/>
        </w:pBdr>
        <w:ind w:left="284" w:right="26" w:hanging="284"/>
        <w:jc w:val="both"/>
        <w:rPr>
          <w:color w:val="000000"/>
          <w:sz w:val="22"/>
          <w:szCs w:val="22"/>
        </w:rPr>
      </w:pPr>
      <w:r>
        <w:rPr>
          <w:b/>
          <w:bCs/>
          <w:color w:val="000000"/>
          <w:sz w:val="22"/>
          <w:szCs w:val="22"/>
        </w:rPr>
        <w:t>2)</w:t>
      </w:r>
      <w:r>
        <w:rPr>
          <w:color w:val="000000"/>
          <w:sz w:val="22"/>
          <w:szCs w:val="22"/>
        </w:rPr>
        <w:tab/>
      </w:r>
      <w:r>
        <w:rPr>
          <w:b/>
          <w:bCs/>
          <w:color w:val="000000"/>
          <w:sz w:val="22"/>
          <w:szCs w:val="22"/>
          <w:u w:val="single"/>
        </w:rPr>
        <w:t>Professional capacity of the tenderer</w:t>
      </w:r>
      <w:r>
        <w:rPr>
          <w:color w:val="000000"/>
          <w:sz w:val="22"/>
          <w:szCs w:val="22"/>
        </w:rPr>
        <w:t xml:space="preserve"> (based on items 4 and 5 of the tender form). The reference period which will be taken into account will be </w:t>
      </w:r>
      <w:r>
        <w:rPr>
          <w:b/>
          <w:bCs/>
          <w:color w:val="000000"/>
          <w:sz w:val="22"/>
          <w:szCs w:val="22"/>
        </w:rPr>
        <w:t>the last three years preceding the submission deadline</w:t>
      </w:r>
      <w:r>
        <w:rPr>
          <w:color w:val="000000"/>
          <w:sz w:val="22"/>
          <w:szCs w:val="22"/>
        </w:rPr>
        <w:t>.</w:t>
      </w:r>
    </w:p>
    <w:p w14:paraId="7AAAADCA" w14:textId="77777777" w:rsidR="00DE12AF" w:rsidRDefault="004335FD">
      <w:pPr>
        <w:numPr>
          <w:ilvl w:val="0"/>
          <w:numId w:val="2"/>
        </w:numPr>
        <w:pBdr>
          <w:top w:val="nil"/>
          <w:left w:val="nil"/>
          <w:bottom w:val="nil"/>
          <w:right w:val="nil"/>
          <w:between w:val="nil"/>
        </w:pBdr>
        <w:spacing w:before="0" w:after="120"/>
        <w:ind w:left="720" w:right="26"/>
        <w:jc w:val="both"/>
        <w:rPr>
          <w:color w:val="000000"/>
          <w:sz w:val="22"/>
          <w:szCs w:val="22"/>
        </w:rPr>
      </w:pPr>
      <w:r>
        <w:rPr>
          <w:b/>
          <w:bCs/>
          <w:color w:val="000000"/>
          <w:sz w:val="22"/>
          <w:szCs w:val="22"/>
          <w:u w:val="single"/>
        </w:rPr>
        <w:t>Criterion 1:</w:t>
      </w:r>
      <w:r>
        <w:rPr>
          <w:color w:val="000000"/>
          <w:sz w:val="22"/>
          <w:szCs w:val="22"/>
          <w:u w:val="single"/>
        </w:rPr>
        <w:t xml:space="preserve"> the tenderer has, during the current year and the previous two years, on average, at least: </w:t>
      </w:r>
      <w:r>
        <w:rPr>
          <w:sz w:val="22"/>
          <w:szCs w:val="22"/>
          <w:u w:val="single"/>
        </w:rPr>
        <w:t>2</w:t>
      </w:r>
      <w:r>
        <w:rPr>
          <w:color w:val="000000"/>
          <w:sz w:val="22"/>
          <w:szCs w:val="22"/>
          <w:u w:val="single"/>
        </w:rPr>
        <w:t xml:space="preserve"> persons personnel directly employed or otherwise legally contracted on a permanent or non-permanent basis in areas of specialist knowledge related to this contract</w:t>
      </w:r>
      <w:r>
        <w:rPr>
          <w:sz w:val="22"/>
          <w:szCs w:val="22"/>
          <w:u w:val="single"/>
        </w:rPr>
        <w:t>, meaning they should be c</w:t>
      </w:r>
      <w:r>
        <w:rPr>
          <w:color w:val="000000"/>
          <w:sz w:val="22"/>
          <w:szCs w:val="22"/>
          <w:u w:val="single"/>
        </w:rPr>
        <w:t xml:space="preserve">apable </w:t>
      </w:r>
      <w:proofErr w:type="gramStart"/>
      <w:r>
        <w:rPr>
          <w:color w:val="000000"/>
          <w:sz w:val="22"/>
          <w:szCs w:val="22"/>
          <w:u w:val="single"/>
        </w:rPr>
        <w:t>o</w:t>
      </w:r>
      <w:r>
        <w:rPr>
          <w:sz w:val="22"/>
          <w:szCs w:val="22"/>
          <w:u w:val="single"/>
        </w:rPr>
        <w:t>f  metal</w:t>
      </w:r>
      <w:proofErr w:type="gramEnd"/>
      <w:r>
        <w:rPr>
          <w:sz w:val="22"/>
          <w:szCs w:val="22"/>
          <w:u w:val="single"/>
        </w:rPr>
        <w:t xml:space="preserve"> machining, cutting, welding, bending, protecting.  </w:t>
      </w:r>
    </w:p>
    <w:p w14:paraId="00DA1154" w14:textId="77777777" w:rsidR="00DE12AF" w:rsidRDefault="004335FD">
      <w:pPr>
        <w:numPr>
          <w:ilvl w:val="0"/>
          <w:numId w:val="2"/>
        </w:numPr>
        <w:pBdr>
          <w:top w:val="nil"/>
          <w:left w:val="nil"/>
          <w:bottom w:val="nil"/>
          <w:right w:val="nil"/>
          <w:between w:val="nil"/>
        </w:pBdr>
        <w:spacing w:before="0" w:after="120"/>
        <w:ind w:left="720" w:right="26"/>
        <w:jc w:val="both"/>
        <w:rPr>
          <w:color w:val="000000"/>
          <w:sz w:val="22"/>
          <w:szCs w:val="22"/>
        </w:rPr>
      </w:pPr>
      <w:bookmarkStart w:id="5" w:name="_heading=h.bwc1skj1d7u" w:colFirst="0" w:colLast="0"/>
      <w:bookmarkEnd w:id="5"/>
      <w:r>
        <w:rPr>
          <w:b/>
          <w:bCs/>
          <w:color w:val="000000"/>
          <w:sz w:val="22"/>
          <w:szCs w:val="22"/>
          <w:u w:val="single"/>
        </w:rPr>
        <w:t xml:space="preserve">Criterion 2: </w:t>
      </w:r>
      <w:r>
        <w:rPr>
          <w:color w:val="000000"/>
          <w:sz w:val="22"/>
          <w:szCs w:val="22"/>
          <w:u w:val="single"/>
        </w:rPr>
        <w:t xml:space="preserve">the tenderer is not subject to professional conflicting interests which may negatively affect contract performance. The presence of professional conflicting interests shall be examined on the basis of the statements made through the Declarations on Honour and, where applicable, the statements and other documents submitted. </w:t>
      </w:r>
    </w:p>
    <w:p w14:paraId="48D76934" w14:textId="77777777" w:rsidR="00DE12AF" w:rsidRDefault="00DE12AF">
      <w:pPr>
        <w:pBdr>
          <w:top w:val="nil"/>
          <w:left w:val="nil"/>
          <w:bottom w:val="nil"/>
          <w:right w:val="nil"/>
          <w:between w:val="nil"/>
        </w:pBdr>
        <w:spacing w:before="120" w:after="120"/>
        <w:ind w:left="284" w:right="357" w:hanging="284"/>
        <w:jc w:val="both"/>
        <w:rPr>
          <w:b/>
          <w:bCs/>
          <w:color w:val="000000"/>
          <w:sz w:val="22"/>
          <w:szCs w:val="22"/>
        </w:rPr>
      </w:pPr>
    </w:p>
    <w:p w14:paraId="0AEBD7BF" w14:textId="77777777" w:rsidR="00DE12AF" w:rsidRDefault="004335FD">
      <w:pPr>
        <w:pBdr>
          <w:top w:val="nil"/>
          <w:left w:val="nil"/>
          <w:bottom w:val="nil"/>
          <w:right w:val="nil"/>
          <w:between w:val="nil"/>
        </w:pBdr>
        <w:spacing w:before="120" w:after="120"/>
        <w:ind w:left="284" w:right="357" w:hanging="284"/>
        <w:jc w:val="both"/>
        <w:rPr>
          <w:color w:val="000000"/>
          <w:sz w:val="22"/>
          <w:szCs w:val="22"/>
        </w:rPr>
      </w:pPr>
      <w:r>
        <w:rPr>
          <w:b/>
          <w:bCs/>
          <w:color w:val="000000"/>
          <w:sz w:val="22"/>
          <w:szCs w:val="22"/>
        </w:rPr>
        <w:t>3)</w:t>
      </w:r>
      <w:r>
        <w:rPr>
          <w:b/>
          <w:bCs/>
          <w:color w:val="000000"/>
          <w:sz w:val="22"/>
          <w:szCs w:val="22"/>
        </w:rPr>
        <w:tab/>
      </w:r>
      <w:r>
        <w:rPr>
          <w:b/>
          <w:bCs/>
          <w:color w:val="000000"/>
          <w:sz w:val="22"/>
          <w:szCs w:val="22"/>
          <w:u w:val="single"/>
        </w:rPr>
        <w:t xml:space="preserve">Technical capacity of tenderer </w:t>
      </w:r>
      <w:r>
        <w:rPr>
          <w:color w:val="000000"/>
          <w:sz w:val="22"/>
          <w:szCs w:val="22"/>
        </w:rPr>
        <w:t>(based on items 6 of the tender form).</w:t>
      </w:r>
    </w:p>
    <w:p w14:paraId="14C06FE3" w14:textId="77777777" w:rsidR="00DE12AF" w:rsidRDefault="004335FD">
      <w:pPr>
        <w:pBdr>
          <w:top w:val="nil"/>
          <w:left w:val="nil"/>
          <w:bottom w:val="nil"/>
          <w:right w:val="nil"/>
          <w:between w:val="nil"/>
        </w:pBdr>
        <w:spacing w:before="0" w:after="120"/>
        <w:ind w:left="284" w:right="26"/>
        <w:jc w:val="both"/>
        <w:rPr>
          <w:color w:val="000000"/>
          <w:sz w:val="22"/>
          <w:szCs w:val="22"/>
        </w:rPr>
      </w:pPr>
      <w:bookmarkStart w:id="6" w:name="_heading=h.a36c05ejurx9" w:colFirst="0" w:colLast="0"/>
      <w:bookmarkEnd w:id="6"/>
      <w:r>
        <w:rPr>
          <w:b/>
          <w:bCs/>
          <w:color w:val="000000"/>
          <w:sz w:val="22"/>
          <w:szCs w:val="22"/>
        </w:rPr>
        <w:t>Criterion</w:t>
      </w:r>
      <w:r>
        <w:rPr>
          <w:color w:val="000000"/>
          <w:sz w:val="22"/>
          <w:szCs w:val="22"/>
        </w:rPr>
        <w:t xml:space="preserve">: </w:t>
      </w:r>
    </w:p>
    <w:p w14:paraId="35912577" w14:textId="77777777" w:rsidR="00DE12AF" w:rsidRDefault="004335FD">
      <w:pPr>
        <w:numPr>
          <w:ilvl w:val="0"/>
          <w:numId w:val="2"/>
        </w:numPr>
        <w:pBdr>
          <w:top w:val="nil"/>
          <w:left w:val="nil"/>
          <w:bottom w:val="nil"/>
          <w:right w:val="nil"/>
          <w:between w:val="nil"/>
        </w:pBdr>
        <w:spacing w:before="0" w:after="120"/>
        <w:ind w:left="720" w:right="26"/>
        <w:jc w:val="both"/>
        <w:rPr>
          <w:color w:val="000000"/>
          <w:sz w:val="22"/>
          <w:szCs w:val="22"/>
        </w:rPr>
      </w:pPr>
      <w:r>
        <w:rPr>
          <w:color w:val="000000"/>
          <w:sz w:val="22"/>
          <w:szCs w:val="22"/>
          <w:u w:val="single"/>
        </w:rPr>
        <w:lastRenderedPageBreak/>
        <w:t xml:space="preserve">The candidate has completed services under at least </w:t>
      </w:r>
      <w:r>
        <w:rPr>
          <w:b/>
          <w:bCs/>
          <w:color w:val="000000"/>
          <w:sz w:val="22"/>
          <w:szCs w:val="22"/>
          <w:u w:val="single"/>
        </w:rPr>
        <w:t xml:space="preserve">3 contracts </w:t>
      </w:r>
      <w:r>
        <w:rPr>
          <w:color w:val="000000"/>
          <w:sz w:val="22"/>
          <w:szCs w:val="22"/>
          <w:u w:val="single"/>
        </w:rPr>
        <w:t xml:space="preserve">implemented at any moment during the last </w:t>
      </w:r>
      <w:r>
        <w:rPr>
          <w:b/>
          <w:bCs/>
          <w:color w:val="000000"/>
          <w:sz w:val="22"/>
          <w:szCs w:val="22"/>
          <w:u w:val="single"/>
        </w:rPr>
        <w:t>four years</w:t>
      </w:r>
      <w:r>
        <w:rPr>
          <w:color w:val="000000"/>
          <w:sz w:val="22"/>
          <w:szCs w:val="22"/>
          <w:u w:val="single"/>
        </w:rPr>
        <w:t xml:space="preserve"> before submission deadline.</w:t>
      </w:r>
    </w:p>
    <w:p w14:paraId="1C572372" w14:textId="77777777" w:rsidR="00DE12AF" w:rsidRDefault="004335FD">
      <w:pPr>
        <w:numPr>
          <w:ilvl w:val="0"/>
          <w:numId w:val="2"/>
        </w:numPr>
        <w:pBdr>
          <w:top w:val="nil"/>
          <w:left w:val="nil"/>
          <w:bottom w:val="nil"/>
          <w:right w:val="nil"/>
          <w:between w:val="nil"/>
        </w:pBdr>
        <w:spacing w:before="0" w:after="120"/>
        <w:ind w:left="720" w:right="26"/>
        <w:jc w:val="both"/>
        <w:rPr>
          <w:color w:val="000000"/>
          <w:sz w:val="22"/>
          <w:szCs w:val="22"/>
        </w:rPr>
      </w:pPr>
      <w:r>
        <w:rPr>
          <w:color w:val="000000"/>
          <w:sz w:val="22"/>
          <w:szCs w:val="22"/>
          <w:u w:val="single"/>
        </w:rPr>
        <w:t>For each contract,</w:t>
      </w:r>
      <w:r>
        <w:rPr>
          <w:b/>
          <w:bCs/>
          <w:color w:val="000000"/>
          <w:sz w:val="22"/>
          <w:szCs w:val="22"/>
          <w:u w:val="single"/>
        </w:rPr>
        <w:t xml:space="preserve"> </w:t>
      </w:r>
      <w:r>
        <w:rPr>
          <w:color w:val="000000"/>
          <w:sz w:val="22"/>
          <w:szCs w:val="22"/>
          <w:u w:val="single"/>
        </w:rPr>
        <w:t xml:space="preserve">the value of the services completed must not be less than </w:t>
      </w:r>
      <w:r>
        <w:rPr>
          <w:b/>
          <w:bCs/>
          <w:color w:val="000000"/>
          <w:sz w:val="22"/>
          <w:szCs w:val="22"/>
          <w:u w:val="single"/>
        </w:rPr>
        <w:t>14.000,00 EUR</w:t>
      </w:r>
      <w:r>
        <w:rPr>
          <w:color w:val="000000"/>
          <w:sz w:val="22"/>
          <w:szCs w:val="22"/>
          <w:u w:val="single"/>
        </w:rPr>
        <w:t xml:space="preserve">. </w:t>
      </w:r>
    </w:p>
    <w:p w14:paraId="55F77E64" w14:textId="77777777" w:rsidR="00DE12AF" w:rsidRDefault="004335FD">
      <w:pPr>
        <w:keepLines/>
        <w:pBdr>
          <w:top w:val="nil"/>
          <w:left w:val="nil"/>
          <w:bottom w:val="nil"/>
          <w:right w:val="nil"/>
          <w:between w:val="nil"/>
        </w:pBdr>
        <w:spacing w:before="0" w:after="0"/>
        <w:ind w:right="357"/>
        <w:jc w:val="both"/>
        <w:rPr>
          <w:sz w:val="22"/>
          <w:szCs w:val="22"/>
          <w:u w:val="single"/>
        </w:rPr>
      </w:pPr>
      <w:r>
        <w:rPr>
          <w:color w:val="000000"/>
          <w:sz w:val="22"/>
          <w:szCs w:val="22"/>
          <w:u w:val="single"/>
        </w:rPr>
        <w:t xml:space="preserve">The completed services or supplies are in the domain of production and installation </w:t>
      </w:r>
      <w:r>
        <w:rPr>
          <w:sz w:val="22"/>
          <w:szCs w:val="22"/>
          <w:u w:val="single"/>
        </w:rPr>
        <w:t xml:space="preserve">of objects from metal in appropriate workshop space, made </w:t>
      </w:r>
      <w:proofErr w:type="spellStart"/>
      <w:r>
        <w:rPr>
          <w:sz w:val="22"/>
          <w:szCs w:val="22"/>
          <w:u w:val="single"/>
        </w:rPr>
        <w:t>made</w:t>
      </w:r>
      <w:proofErr w:type="spellEnd"/>
      <w:r>
        <w:rPr>
          <w:sz w:val="22"/>
          <w:szCs w:val="22"/>
          <w:u w:val="single"/>
        </w:rPr>
        <w:t xml:space="preserve"> by the use of minimum the following specialised tool set:</w:t>
      </w:r>
      <w:r>
        <w:rPr>
          <w:sz w:val="22"/>
          <w:szCs w:val="22"/>
          <w:u w:val="single"/>
        </w:rPr>
        <w:br/>
      </w:r>
      <w:r>
        <w:rPr>
          <w:sz w:val="22"/>
          <w:szCs w:val="22"/>
        </w:rPr>
        <w:tab/>
      </w:r>
      <w:r>
        <w:rPr>
          <w:sz w:val="22"/>
          <w:szCs w:val="22"/>
          <w:u w:val="single"/>
        </w:rPr>
        <w:t>Laser for metal cutting, min. 1 kW power</w:t>
      </w:r>
    </w:p>
    <w:p w14:paraId="12B8A217" w14:textId="77777777" w:rsidR="00DE12AF" w:rsidRDefault="004335FD">
      <w:pPr>
        <w:spacing w:before="0" w:after="0"/>
        <w:ind w:left="720"/>
        <w:rPr>
          <w:sz w:val="22"/>
          <w:szCs w:val="22"/>
          <w:u w:val="single"/>
        </w:rPr>
      </w:pPr>
      <w:r>
        <w:rPr>
          <w:sz w:val="22"/>
          <w:szCs w:val="22"/>
          <w:u w:val="single"/>
        </w:rPr>
        <w:t>Waterjet for metal cutting</w:t>
      </w:r>
    </w:p>
    <w:p w14:paraId="502F0513" w14:textId="77777777" w:rsidR="00DE12AF" w:rsidRDefault="004335FD">
      <w:pPr>
        <w:spacing w:before="0" w:after="0"/>
        <w:ind w:left="720"/>
        <w:rPr>
          <w:sz w:val="22"/>
          <w:szCs w:val="22"/>
          <w:u w:val="single"/>
        </w:rPr>
      </w:pPr>
      <w:r>
        <w:rPr>
          <w:sz w:val="22"/>
          <w:szCs w:val="22"/>
          <w:u w:val="single"/>
        </w:rPr>
        <w:t>Professional welding table</w:t>
      </w:r>
    </w:p>
    <w:p w14:paraId="36E29700" w14:textId="77777777" w:rsidR="00DE12AF" w:rsidRDefault="004335FD">
      <w:pPr>
        <w:spacing w:before="0" w:after="0"/>
        <w:ind w:left="720"/>
        <w:rPr>
          <w:sz w:val="22"/>
          <w:szCs w:val="22"/>
          <w:u w:val="single"/>
        </w:rPr>
      </w:pPr>
      <w:r>
        <w:rPr>
          <w:sz w:val="22"/>
          <w:szCs w:val="22"/>
          <w:u w:val="single"/>
        </w:rPr>
        <w:t>MIG/MAG welding machine (at least 2 units)</w:t>
      </w:r>
    </w:p>
    <w:p w14:paraId="2DC7A076" w14:textId="77777777" w:rsidR="00DE12AF" w:rsidRDefault="004335FD">
      <w:pPr>
        <w:spacing w:before="0" w:after="0"/>
        <w:ind w:left="720"/>
        <w:rPr>
          <w:sz w:val="22"/>
          <w:szCs w:val="22"/>
          <w:u w:val="single"/>
        </w:rPr>
      </w:pPr>
      <w:r>
        <w:rPr>
          <w:sz w:val="22"/>
          <w:szCs w:val="22"/>
          <w:u w:val="single"/>
        </w:rPr>
        <w:t>Tube cutting machine</w:t>
      </w:r>
    </w:p>
    <w:p w14:paraId="5E6390F4" w14:textId="77777777" w:rsidR="00DE12AF" w:rsidRDefault="004335FD">
      <w:pPr>
        <w:spacing w:before="0" w:after="0"/>
        <w:ind w:left="720"/>
        <w:rPr>
          <w:color w:val="000000"/>
          <w:sz w:val="22"/>
          <w:szCs w:val="22"/>
          <w:u w:val="single"/>
        </w:rPr>
      </w:pPr>
      <w:r>
        <w:rPr>
          <w:sz w:val="22"/>
          <w:szCs w:val="22"/>
          <w:u w:val="single"/>
        </w:rPr>
        <w:t>Sheet metal bending machine</w:t>
      </w:r>
    </w:p>
    <w:p w14:paraId="2CBCC26C" w14:textId="77777777" w:rsidR="00DE12AF" w:rsidRDefault="004335FD">
      <w:pPr>
        <w:pBdr>
          <w:top w:val="nil"/>
          <w:left w:val="nil"/>
          <w:bottom w:val="nil"/>
          <w:right w:val="nil"/>
          <w:between w:val="nil"/>
        </w:pBdr>
        <w:tabs>
          <w:tab w:val="left" w:pos="284"/>
        </w:tabs>
        <w:ind w:left="360" w:right="26"/>
        <w:jc w:val="both"/>
        <w:rPr>
          <w:color w:val="000000"/>
          <w:sz w:val="22"/>
          <w:szCs w:val="22"/>
        </w:rPr>
      </w:pPr>
      <w:bookmarkStart w:id="7" w:name="_heading=h.3fxi58hcnz4r" w:colFirst="0" w:colLast="0"/>
      <w:bookmarkEnd w:id="7"/>
      <w:r>
        <w:rPr>
          <w:color w:val="000000"/>
          <w:sz w:val="22"/>
          <w:szCs w:val="22"/>
        </w:rPr>
        <w:t>This means that the service contract the tenderer refers to could have been implemented at any time during the indicated period but it does not necessarily have to be completed during that period, nor implemented during the entire period. Tenderers are allowed to refer either to service contracts completed within the reference period (although started earlier) or to projects partially implemented during, but not yet completed within the reference period. Only the part completed during the reference period w</w:t>
      </w:r>
      <w:r>
        <w:rPr>
          <w:color w:val="000000"/>
          <w:sz w:val="22"/>
          <w:szCs w:val="22"/>
        </w:rPr>
        <w:t>ill be taken into consideration. This part will have to be supported by documentary evidence (</w:t>
      </w:r>
      <w:r>
        <w:rPr>
          <w:color w:val="000000"/>
          <w:sz w:val="22"/>
          <w:szCs w:val="22"/>
          <w:u w:val="single"/>
        </w:rPr>
        <w:t>approval of report or deliverable, proof of payment, statement or certificate from the entity which awarded the contract</w:t>
      </w:r>
      <w:r>
        <w:rPr>
          <w:color w:val="000000"/>
          <w:sz w:val="22"/>
          <w:szCs w:val="22"/>
        </w:rPr>
        <w:t>) also detailing its value. If a tenderer has implemented the project in a consortium, the percentage that the tenderer has successfully completed must be clear from the documentary evidence (approval of report or deliverable, proof of payment, statement or certificate from the entity which awarde</w:t>
      </w:r>
      <w:r>
        <w:rPr>
          <w:color w:val="000000"/>
          <w:sz w:val="22"/>
          <w:szCs w:val="22"/>
        </w:rPr>
        <w:t>d the contract) also detailing its value. If a candidate has implemented the project in a consortium, the part that the candidate has successfully completed must be clear from the documentary evidence (such as consortium agreement and bank transfers between consortium members), together with a description of the nature of the services provided.</w:t>
      </w:r>
    </w:p>
    <w:p w14:paraId="607B84A5" w14:textId="77777777" w:rsidR="00DE12AF" w:rsidRDefault="004335FD">
      <w:pPr>
        <w:ind w:left="426" w:hanging="426"/>
        <w:rPr>
          <w:sz w:val="22"/>
          <w:szCs w:val="22"/>
        </w:rPr>
      </w:pPr>
      <w:r>
        <w:rPr>
          <w:b/>
          <w:bCs/>
          <w:sz w:val="22"/>
          <w:szCs w:val="22"/>
        </w:rPr>
        <w:t xml:space="preserve">17. </w:t>
      </w:r>
      <w:r>
        <w:rPr>
          <w:b/>
          <w:bCs/>
          <w:sz w:val="22"/>
          <w:szCs w:val="22"/>
        </w:rPr>
        <w:tab/>
        <w:t>Award criteria</w:t>
      </w:r>
    </w:p>
    <w:p w14:paraId="7D9C9EDB" w14:textId="77777777" w:rsidR="00DE12AF" w:rsidRDefault="004335FD">
      <w:pPr>
        <w:pBdr>
          <w:top w:val="nil"/>
          <w:left w:val="nil"/>
          <w:bottom w:val="nil"/>
          <w:right w:val="nil"/>
          <w:between w:val="nil"/>
        </w:pBdr>
        <w:ind w:left="360" w:right="1"/>
        <w:jc w:val="both"/>
        <w:rPr>
          <w:color w:val="000000"/>
          <w:sz w:val="22"/>
          <w:szCs w:val="22"/>
        </w:rPr>
      </w:pPr>
      <w:r>
        <w:rPr>
          <w:color w:val="000000"/>
          <w:sz w:val="22"/>
          <w:szCs w:val="22"/>
        </w:rPr>
        <w:t>Best price-quality ratio.</w:t>
      </w:r>
    </w:p>
    <w:p w14:paraId="7C872D7E" w14:textId="77777777" w:rsidR="00DE12AF" w:rsidRDefault="00DE12AF">
      <w:pPr>
        <w:keepNext/>
        <w:keepLines/>
        <w:widowControl/>
        <w:rPr>
          <w:sz w:val="22"/>
          <w:szCs w:val="22"/>
        </w:rPr>
      </w:pPr>
    </w:p>
    <w:p w14:paraId="68E93761" w14:textId="77777777" w:rsidR="00DE12AF" w:rsidRDefault="004335FD">
      <w:pPr>
        <w:keepNext/>
        <w:keepLines/>
        <w:widowControl/>
        <w:spacing w:after="240"/>
        <w:jc w:val="center"/>
        <w:rPr>
          <w:sz w:val="28"/>
          <w:szCs w:val="28"/>
        </w:rPr>
      </w:pPr>
      <w:r>
        <w:rPr>
          <w:b/>
          <w:bCs/>
          <w:sz w:val="28"/>
          <w:szCs w:val="28"/>
        </w:rPr>
        <w:t>TENDERING</w:t>
      </w:r>
      <w:r>
        <w:rPr>
          <w:noProof/>
        </w:rPr>
        <mc:AlternateContent>
          <mc:Choice Requires="wps">
            <w:drawing>
              <wp:anchor distT="0" distB="0" distL="114300" distR="114300" simplePos="0" relativeHeight="251662336" behindDoc="0" locked="0" layoutInCell="1" hidden="0" allowOverlap="1" wp14:anchorId="76E8FF34" wp14:editId="639373B6">
                <wp:simplePos x="0" y="0"/>
                <wp:positionH relativeFrom="column">
                  <wp:posOffset>19051</wp:posOffset>
                </wp:positionH>
                <wp:positionV relativeFrom="paragraph">
                  <wp:posOffset>-91756</wp:posOffset>
                </wp:positionV>
                <wp:extent cx="635" cy="22225"/>
                <wp:effectExtent l="0" t="0" r="0" b="0"/>
                <wp:wrapNone/>
                <wp:docPr id="10" name="Straight Arrow Connector 10"/>
                <wp:cNvGraphicFramePr/>
                <a:graphic xmlns:a="http://schemas.openxmlformats.org/drawingml/2006/main">
                  <a:graphicData uri="http://schemas.microsoft.com/office/word/2010/wordprocessingShape">
                    <wps:wsp>
                      <wps:cNvCnPr/>
                      <wps:spPr>
                        <a:xfrm>
                          <a:off x="2374200" y="3779683"/>
                          <a:ext cx="5943600" cy="635"/>
                        </a:xfrm>
                        <a:prstGeom prst="straightConnector1">
                          <a:avLst/>
                        </a:prstGeom>
                        <a:noFill/>
                        <a:ln w="22225" cap="flat" cmpd="sng">
                          <a:solidFill>
                            <a:srgbClr val="D4D4D4"/>
                          </a:solidFill>
                          <a:prstDash val="solid"/>
                          <a:round/>
                          <a:headEnd type="none" w="sm" len="sm"/>
                          <a:tailEnd type="none" w="sm" len="sm"/>
                        </a:ln>
                        <a:effectLst>
                          <a:outerShdw dist="12700" dir="16200000" algn="ctr" rotWithShape="0">
                            <a:srgbClr val="808080"/>
                          </a:outerShdw>
                        </a:effectLst>
                      </wps:spPr>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19051</wp:posOffset>
                </wp:positionH>
                <wp:positionV relativeFrom="paragraph">
                  <wp:posOffset>-91756</wp:posOffset>
                </wp:positionV>
                <wp:extent cx="635" cy="22225"/>
                <wp:effectExtent b="0" l="0" r="0" t="0"/>
                <wp:wrapNone/>
                <wp:docPr id="10" name="image5.png"/>
                <a:graphic>
                  <a:graphicData uri="http://schemas.openxmlformats.org/drawingml/2006/picture">
                    <pic:pic>
                      <pic:nvPicPr>
                        <pic:cNvPr id="0" name="image5.png"/>
                        <pic:cNvPicPr preferRelativeResize="0"/>
                      </pic:nvPicPr>
                      <pic:blipFill>
                        <a:blip r:embed="rId8"/>
                        <a:srcRect/>
                        <a:stretch>
                          <a:fillRect/>
                        </a:stretch>
                      </pic:blipFill>
                      <pic:spPr>
                        <a:xfrm>
                          <a:off x="0" y="0"/>
                          <a:ext cx="635" cy="22225"/>
                        </a:xfrm>
                        <a:prstGeom prst="rect"/>
                        <a:ln/>
                      </pic:spPr>
                    </pic:pic>
                  </a:graphicData>
                </a:graphic>
              </wp:anchor>
            </w:drawing>
          </mc:Fallback>
        </mc:AlternateContent>
      </w:r>
    </w:p>
    <w:p w14:paraId="55FE60C6" w14:textId="77777777" w:rsidR="00DE12AF" w:rsidRDefault="004335FD">
      <w:pPr>
        <w:keepNext/>
        <w:keepLines/>
        <w:widowControl/>
        <w:ind w:left="426" w:hanging="426"/>
        <w:rPr>
          <w:b/>
          <w:bCs/>
        </w:rPr>
      </w:pPr>
      <w:r>
        <w:rPr>
          <w:b/>
          <w:bCs/>
          <w:sz w:val="22"/>
          <w:szCs w:val="22"/>
        </w:rPr>
        <w:t xml:space="preserve">18. </w:t>
      </w:r>
      <w:r>
        <w:rPr>
          <w:b/>
          <w:bCs/>
          <w:sz w:val="22"/>
          <w:szCs w:val="22"/>
        </w:rPr>
        <w:tab/>
        <w:t>Deadline for submission of tenders</w:t>
      </w:r>
    </w:p>
    <w:p w14:paraId="1AD37249" w14:textId="58EB99E2" w:rsidR="00DE12AF" w:rsidRDefault="004335FD">
      <w:pPr>
        <w:keepNext/>
        <w:keepLines/>
        <w:widowControl/>
        <w:pBdr>
          <w:top w:val="nil"/>
          <w:left w:val="nil"/>
          <w:bottom w:val="nil"/>
          <w:right w:val="nil"/>
          <w:between w:val="nil"/>
        </w:pBdr>
        <w:ind w:right="360"/>
        <w:jc w:val="both"/>
        <w:rPr>
          <w:b/>
          <w:bCs/>
        </w:rPr>
      </w:pPr>
      <w:r>
        <w:rPr>
          <w:color w:val="000000"/>
          <w:sz w:val="22"/>
          <w:szCs w:val="22"/>
        </w:rPr>
        <w:t xml:space="preserve">The deadline for submission of tenders </w:t>
      </w:r>
      <w:r>
        <w:rPr>
          <w:sz w:val="22"/>
          <w:szCs w:val="22"/>
        </w:rPr>
        <w:t>as</w:t>
      </w:r>
      <w:r>
        <w:rPr>
          <w:color w:val="000000"/>
          <w:sz w:val="22"/>
          <w:szCs w:val="22"/>
        </w:rPr>
        <w:t xml:space="preserve"> specified in point 8 of the instruction to tenderers is </w:t>
      </w:r>
      <w:r w:rsidR="00DA6CD3">
        <w:rPr>
          <w:color w:val="000000"/>
          <w:sz w:val="22"/>
          <w:szCs w:val="22"/>
        </w:rPr>
        <w:t>12</w:t>
      </w:r>
      <w:r>
        <w:rPr>
          <w:color w:val="000000"/>
          <w:sz w:val="22"/>
          <w:szCs w:val="22"/>
        </w:rPr>
        <w:t>.0</w:t>
      </w:r>
      <w:r w:rsidR="00DA6CD3">
        <w:rPr>
          <w:color w:val="000000"/>
          <w:sz w:val="22"/>
          <w:szCs w:val="22"/>
        </w:rPr>
        <w:t>3</w:t>
      </w:r>
      <w:r>
        <w:rPr>
          <w:color w:val="000000"/>
          <w:sz w:val="22"/>
          <w:szCs w:val="22"/>
        </w:rPr>
        <w:t xml:space="preserve">.2026 </w:t>
      </w:r>
      <w:proofErr w:type="gramStart"/>
      <w:r>
        <w:rPr>
          <w:sz w:val="22"/>
          <w:szCs w:val="22"/>
        </w:rPr>
        <w:t xml:space="preserve">till </w:t>
      </w:r>
      <w:r>
        <w:rPr>
          <w:color w:val="000000"/>
          <w:sz w:val="22"/>
          <w:szCs w:val="22"/>
        </w:rPr>
        <w:t xml:space="preserve"> noon</w:t>
      </w:r>
      <w:proofErr w:type="gramEnd"/>
      <w:r>
        <w:rPr>
          <w:color w:val="000000"/>
          <w:sz w:val="22"/>
          <w:szCs w:val="22"/>
        </w:rPr>
        <w:t xml:space="preserve"> </w:t>
      </w:r>
      <w:r>
        <w:rPr>
          <w:sz w:val="22"/>
          <w:szCs w:val="22"/>
        </w:rPr>
        <w:t>(12:00) clock.</w:t>
      </w:r>
      <w:r>
        <w:rPr>
          <w:color w:val="000000"/>
          <w:sz w:val="22"/>
          <w:szCs w:val="22"/>
        </w:rPr>
        <w:t xml:space="preserve"> </w:t>
      </w:r>
    </w:p>
    <w:p w14:paraId="3CD412A4" w14:textId="77777777" w:rsidR="00DE12AF" w:rsidRDefault="00DE12AF">
      <w:pPr>
        <w:keepNext/>
        <w:keepLines/>
        <w:widowControl/>
        <w:pBdr>
          <w:top w:val="nil"/>
          <w:left w:val="nil"/>
          <w:bottom w:val="nil"/>
          <w:right w:val="nil"/>
          <w:between w:val="nil"/>
        </w:pBdr>
        <w:ind w:right="360"/>
        <w:jc w:val="both"/>
        <w:rPr>
          <w:i/>
          <w:iCs/>
          <w:color w:val="000000"/>
          <w:sz w:val="22"/>
          <w:szCs w:val="22"/>
        </w:rPr>
      </w:pPr>
    </w:p>
    <w:p w14:paraId="2EDBF94B" w14:textId="77777777" w:rsidR="00DE12AF" w:rsidRDefault="004335FD">
      <w:pPr>
        <w:ind w:left="426" w:hanging="426"/>
        <w:rPr>
          <w:b/>
          <w:bCs/>
        </w:rPr>
      </w:pPr>
      <w:r>
        <w:rPr>
          <w:b/>
          <w:bCs/>
          <w:sz w:val="22"/>
          <w:szCs w:val="22"/>
        </w:rPr>
        <w:t xml:space="preserve">19. </w:t>
      </w:r>
      <w:r>
        <w:rPr>
          <w:b/>
          <w:bCs/>
          <w:sz w:val="22"/>
          <w:szCs w:val="22"/>
        </w:rPr>
        <w:tab/>
        <w:t>Tender format and details to be provided</w:t>
      </w:r>
    </w:p>
    <w:p w14:paraId="47F7724F" w14:textId="77777777" w:rsidR="00DE12AF" w:rsidRDefault="004335FD">
      <w:pPr>
        <w:pBdr>
          <w:top w:val="nil"/>
          <w:left w:val="nil"/>
          <w:bottom w:val="nil"/>
          <w:right w:val="nil"/>
          <w:between w:val="nil"/>
        </w:pBdr>
        <w:spacing w:after="0"/>
        <w:ind w:right="28"/>
        <w:jc w:val="both"/>
        <w:rPr>
          <w:color w:val="000000"/>
          <w:sz w:val="22"/>
          <w:szCs w:val="22"/>
        </w:rPr>
      </w:pPr>
      <w:r>
        <w:rPr>
          <w:color w:val="000000"/>
          <w:sz w:val="22"/>
          <w:szCs w:val="22"/>
        </w:rPr>
        <w:t>Tenders must be submitted using the standard tender form for simplified procedures, the format and instructions of which must be strictly observed. The tender form is available from the following internet address:</w:t>
      </w:r>
    </w:p>
    <w:p w14:paraId="7AE92626" w14:textId="77777777" w:rsidR="00DE12AF" w:rsidRDefault="004335FD">
      <w:pPr>
        <w:pBdr>
          <w:top w:val="nil"/>
          <w:left w:val="nil"/>
          <w:bottom w:val="nil"/>
          <w:right w:val="nil"/>
          <w:between w:val="nil"/>
        </w:pBdr>
        <w:ind w:right="26"/>
        <w:jc w:val="both"/>
        <w:rPr>
          <w:color w:val="000000"/>
          <w:sz w:val="22"/>
          <w:szCs w:val="22"/>
        </w:rPr>
      </w:pPr>
      <w:hyperlink r:id="rId9" w:anchor="Annexes-AnnexesB(Ch.3):Servicecontracts">
        <w:r>
          <w:rPr>
            <w:color w:val="0000FF"/>
            <w:sz w:val="22"/>
            <w:szCs w:val="22"/>
            <w:u w:val="single"/>
          </w:rPr>
          <w:t>https://wikis.ec.europa.eu/display/ExactExternalWiki/Annexes#Annexes-AnnexesB(Ch.3):Servicecontracts</w:t>
        </w:r>
      </w:hyperlink>
      <w:r>
        <w:rPr>
          <w:color w:val="000000"/>
          <w:sz w:val="22"/>
          <w:szCs w:val="22"/>
        </w:rPr>
        <w:t xml:space="preserve">, under the zip file called Simplified Tender dossier. </w:t>
      </w:r>
    </w:p>
    <w:p w14:paraId="5D697DC2" w14:textId="77777777" w:rsidR="00DE12AF" w:rsidRDefault="004335FD">
      <w:pPr>
        <w:pBdr>
          <w:top w:val="nil"/>
          <w:left w:val="nil"/>
          <w:bottom w:val="nil"/>
          <w:right w:val="nil"/>
          <w:between w:val="nil"/>
        </w:pBdr>
        <w:ind w:right="26"/>
        <w:jc w:val="both"/>
        <w:rPr>
          <w:color w:val="000000"/>
          <w:sz w:val="22"/>
          <w:szCs w:val="22"/>
        </w:rPr>
      </w:pPr>
      <w:r>
        <w:rPr>
          <w:color w:val="000000"/>
          <w:sz w:val="22"/>
          <w:szCs w:val="22"/>
        </w:rPr>
        <w:t>The tender must be accompanied by a declaration on honour on exclusion and selection criteria using the template available from the following Internet address:</w:t>
      </w:r>
    </w:p>
    <w:p w14:paraId="330A625B" w14:textId="77777777" w:rsidR="00DE12AF" w:rsidRDefault="004335FD">
      <w:pPr>
        <w:pBdr>
          <w:top w:val="nil"/>
          <w:left w:val="nil"/>
          <w:bottom w:val="nil"/>
          <w:right w:val="nil"/>
          <w:between w:val="nil"/>
        </w:pBdr>
        <w:ind w:right="26"/>
        <w:jc w:val="both"/>
        <w:rPr>
          <w:color w:val="000000"/>
          <w:sz w:val="22"/>
          <w:szCs w:val="22"/>
        </w:rPr>
      </w:pPr>
      <w:hyperlink r:id="rId10" w:anchor="Annexes-AnnexesA(Ch.2):General">
        <w:r>
          <w:rPr>
            <w:color w:val="0000FF"/>
            <w:sz w:val="22"/>
            <w:szCs w:val="22"/>
            <w:u w:val="single"/>
          </w:rPr>
          <w:t>https://wikis.ec.europa.eu/display/ExactExternalWiki/Annexes#Annexes-AnnexesA(Ch.2):General</w:t>
        </w:r>
      </w:hyperlink>
      <w:r>
        <w:rPr>
          <w:color w:val="000000"/>
          <w:sz w:val="22"/>
          <w:szCs w:val="22"/>
        </w:rPr>
        <w:t xml:space="preserve"> </w:t>
      </w:r>
    </w:p>
    <w:p w14:paraId="306BFF99" w14:textId="77777777" w:rsidR="00DE12AF" w:rsidRDefault="004335FD">
      <w:pPr>
        <w:pBdr>
          <w:top w:val="nil"/>
          <w:left w:val="nil"/>
          <w:bottom w:val="nil"/>
          <w:right w:val="nil"/>
          <w:between w:val="nil"/>
        </w:pBdr>
        <w:ind w:right="26"/>
        <w:jc w:val="both"/>
        <w:rPr>
          <w:color w:val="000000"/>
          <w:sz w:val="22"/>
          <w:szCs w:val="22"/>
        </w:rPr>
      </w:pPr>
      <w:r>
        <w:rPr>
          <w:color w:val="000000"/>
          <w:sz w:val="22"/>
          <w:szCs w:val="22"/>
        </w:rPr>
        <w:t>Any additional documentation (brochure, letter, etc.) sent with a tender will not be taken into consideration.</w:t>
      </w:r>
    </w:p>
    <w:p w14:paraId="3A394F73" w14:textId="77777777" w:rsidR="00DE12AF" w:rsidRDefault="004335FD">
      <w:pPr>
        <w:keepNext/>
        <w:keepLines/>
        <w:widowControl/>
        <w:ind w:left="426" w:hanging="426"/>
        <w:rPr>
          <w:b/>
          <w:bCs/>
        </w:rPr>
      </w:pPr>
      <w:r>
        <w:rPr>
          <w:b/>
          <w:bCs/>
          <w:sz w:val="22"/>
          <w:szCs w:val="22"/>
        </w:rPr>
        <w:t xml:space="preserve">20. </w:t>
      </w:r>
      <w:r>
        <w:rPr>
          <w:b/>
          <w:bCs/>
          <w:sz w:val="22"/>
          <w:szCs w:val="22"/>
        </w:rPr>
        <w:tab/>
        <w:t>How tenders may be submitted</w:t>
      </w:r>
    </w:p>
    <w:p w14:paraId="43A9B177" w14:textId="77777777" w:rsidR="00DE12AF" w:rsidRDefault="004335FD">
      <w:pPr>
        <w:pBdr>
          <w:top w:val="nil"/>
          <w:left w:val="nil"/>
          <w:bottom w:val="nil"/>
          <w:right w:val="nil"/>
          <w:between w:val="nil"/>
        </w:pBdr>
        <w:ind w:right="26"/>
        <w:jc w:val="both"/>
        <w:rPr>
          <w:color w:val="000000"/>
          <w:sz w:val="22"/>
          <w:szCs w:val="22"/>
        </w:rPr>
      </w:pPr>
      <w:r>
        <w:rPr>
          <w:color w:val="000000"/>
          <w:sz w:val="22"/>
          <w:szCs w:val="22"/>
        </w:rPr>
        <w:t xml:space="preserve">Tenders must be submitted in English exclusively to the contracting authority, using the means specified in </w:t>
      </w:r>
      <w:r>
        <w:rPr>
          <w:color w:val="000000"/>
          <w:sz w:val="22"/>
          <w:szCs w:val="22"/>
        </w:rPr>
        <w:lastRenderedPageBreak/>
        <w:t xml:space="preserve">point 8 of the instructions to tenderers.  </w:t>
      </w:r>
    </w:p>
    <w:p w14:paraId="6009EF08" w14:textId="77777777" w:rsidR="00DE12AF" w:rsidRDefault="004335FD">
      <w:pPr>
        <w:pBdr>
          <w:top w:val="nil"/>
          <w:left w:val="nil"/>
          <w:bottom w:val="nil"/>
          <w:right w:val="nil"/>
          <w:between w:val="nil"/>
        </w:pBdr>
        <w:ind w:right="26"/>
        <w:jc w:val="both"/>
        <w:rPr>
          <w:color w:val="000000"/>
          <w:sz w:val="22"/>
          <w:szCs w:val="22"/>
        </w:rPr>
      </w:pPr>
      <w:r>
        <w:rPr>
          <w:color w:val="000000"/>
          <w:sz w:val="22"/>
          <w:szCs w:val="22"/>
        </w:rPr>
        <w:t>Tenders submitted by any other means will not be considered.</w:t>
      </w:r>
    </w:p>
    <w:p w14:paraId="7823E6B6" w14:textId="77777777" w:rsidR="00DE12AF" w:rsidRDefault="004335FD">
      <w:pPr>
        <w:pBdr>
          <w:top w:val="nil"/>
          <w:left w:val="nil"/>
          <w:bottom w:val="nil"/>
          <w:right w:val="nil"/>
          <w:between w:val="nil"/>
        </w:pBdr>
        <w:ind w:right="26"/>
        <w:jc w:val="both"/>
        <w:rPr>
          <w:color w:val="000000"/>
          <w:sz w:val="22"/>
          <w:szCs w:val="22"/>
        </w:rPr>
      </w:pPr>
      <w:r>
        <w:rPr>
          <w:color w:val="000000"/>
          <w:sz w:val="22"/>
          <w:szCs w:val="22"/>
        </w:rPr>
        <w:t>By submitting a tender, tenderers accept to receive notification of the outcome of the procedure by electronic means.</w:t>
      </w:r>
    </w:p>
    <w:p w14:paraId="1456C809" w14:textId="77777777" w:rsidR="00DE12AF" w:rsidRDefault="004335FD">
      <w:pPr>
        <w:keepNext/>
        <w:keepLines/>
        <w:widowControl/>
        <w:ind w:left="426" w:hanging="426"/>
        <w:rPr>
          <w:b/>
          <w:bCs/>
        </w:rPr>
      </w:pPr>
      <w:r>
        <w:rPr>
          <w:b/>
          <w:bCs/>
          <w:sz w:val="22"/>
          <w:szCs w:val="22"/>
        </w:rPr>
        <w:t>21.</w:t>
      </w:r>
      <w:r>
        <w:rPr>
          <w:b/>
          <w:bCs/>
          <w:sz w:val="22"/>
          <w:szCs w:val="22"/>
        </w:rPr>
        <w:tab/>
        <w:t>Alteration or withdrawal of tenders</w:t>
      </w:r>
    </w:p>
    <w:p w14:paraId="6044B4BE" w14:textId="77777777" w:rsidR="00DE12AF" w:rsidRDefault="004335FD">
      <w:pPr>
        <w:pBdr>
          <w:top w:val="nil"/>
          <w:left w:val="nil"/>
          <w:bottom w:val="nil"/>
          <w:right w:val="nil"/>
          <w:between w:val="nil"/>
        </w:pBdr>
        <w:ind w:right="26"/>
        <w:jc w:val="both"/>
        <w:rPr>
          <w:color w:val="000000"/>
          <w:sz w:val="22"/>
          <w:szCs w:val="22"/>
        </w:rPr>
      </w:pPr>
      <w:r>
        <w:rPr>
          <w:color w:val="000000"/>
          <w:sz w:val="22"/>
          <w:szCs w:val="22"/>
        </w:rPr>
        <w:t>Tenderers may alter or withdraw their tenders by written notification prior to the deadline for submission of tenders. No tender may be altered after this deadline.</w:t>
      </w:r>
    </w:p>
    <w:p w14:paraId="46D6D50F" w14:textId="77777777" w:rsidR="00DE12AF" w:rsidRDefault="004335FD">
      <w:pPr>
        <w:pBdr>
          <w:top w:val="nil"/>
          <w:left w:val="nil"/>
          <w:bottom w:val="nil"/>
          <w:right w:val="nil"/>
          <w:between w:val="nil"/>
        </w:pBdr>
        <w:ind w:right="26"/>
        <w:jc w:val="both"/>
        <w:rPr>
          <w:color w:val="000000"/>
          <w:sz w:val="22"/>
          <w:szCs w:val="22"/>
        </w:rPr>
      </w:pPr>
      <w:r>
        <w:rPr>
          <w:color w:val="000000"/>
          <w:sz w:val="22"/>
          <w:szCs w:val="22"/>
        </w:rPr>
        <w:t xml:space="preserve">Any such notification of alteration or withdrawal shall be prepared and submitted in accordance with point 9 of the instructions to tenderers. </w:t>
      </w:r>
    </w:p>
    <w:p w14:paraId="3AB879D7" w14:textId="77777777" w:rsidR="00DE12AF" w:rsidRDefault="004335FD">
      <w:pPr>
        <w:keepNext/>
        <w:keepLines/>
        <w:widowControl/>
        <w:ind w:left="426" w:hanging="426"/>
        <w:rPr>
          <w:b/>
          <w:bCs/>
        </w:rPr>
      </w:pPr>
      <w:r>
        <w:rPr>
          <w:b/>
          <w:bCs/>
          <w:sz w:val="22"/>
          <w:szCs w:val="22"/>
        </w:rPr>
        <w:t xml:space="preserve">22. </w:t>
      </w:r>
      <w:r>
        <w:rPr>
          <w:b/>
          <w:bCs/>
          <w:sz w:val="22"/>
          <w:szCs w:val="22"/>
        </w:rPr>
        <w:tab/>
        <w:t>Operational language</w:t>
      </w:r>
    </w:p>
    <w:p w14:paraId="5226FB54" w14:textId="77777777" w:rsidR="00DE12AF" w:rsidRDefault="004335FD">
      <w:pPr>
        <w:pBdr>
          <w:top w:val="nil"/>
          <w:left w:val="nil"/>
          <w:bottom w:val="nil"/>
          <w:right w:val="nil"/>
          <w:between w:val="nil"/>
        </w:pBdr>
        <w:ind w:right="360"/>
        <w:jc w:val="both"/>
        <w:rPr>
          <w:i/>
          <w:iCs/>
          <w:color w:val="000000"/>
          <w:sz w:val="22"/>
          <w:szCs w:val="22"/>
        </w:rPr>
      </w:pPr>
      <w:r>
        <w:rPr>
          <w:color w:val="000000"/>
          <w:sz w:val="22"/>
          <w:szCs w:val="22"/>
        </w:rPr>
        <w:t>All written communications for this tender procedure and contract must be in English.</w:t>
      </w:r>
    </w:p>
    <w:p w14:paraId="3C84B7A2" w14:textId="77777777" w:rsidR="00DE12AF" w:rsidRDefault="004335FD">
      <w:pPr>
        <w:keepNext/>
        <w:keepLines/>
        <w:widowControl/>
        <w:ind w:left="426" w:hanging="426"/>
        <w:rPr>
          <w:b/>
          <w:bCs/>
        </w:rPr>
      </w:pPr>
      <w:r>
        <w:rPr>
          <w:b/>
          <w:bCs/>
        </w:rPr>
        <w:t>23.</w:t>
      </w:r>
      <w:r>
        <w:rPr>
          <w:b/>
          <w:bCs/>
        </w:rPr>
        <w:tab/>
        <w:t>Additional information</w:t>
      </w:r>
    </w:p>
    <w:p w14:paraId="4A858DD4" w14:textId="77777777" w:rsidR="00DE12AF" w:rsidRDefault="004335FD">
      <w:pPr>
        <w:widowControl/>
        <w:spacing w:after="240"/>
        <w:ind w:right="26"/>
        <w:jc w:val="both"/>
        <w:rPr>
          <w:sz w:val="22"/>
          <w:szCs w:val="22"/>
        </w:rPr>
      </w:pPr>
      <w:r>
        <w:rPr>
          <w:sz w:val="22"/>
          <w:szCs w:val="22"/>
        </w:rPr>
        <w:t xml:space="preserve">Financial data to be provided by the candidate in the standard application form must be expressed in EUR. If applicable, where a candidate refers to amounts originally expressed in a different currency, the conversion to EUR shall be made in accordance with the </w:t>
      </w:r>
      <w:proofErr w:type="spellStart"/>
      <w:r>
        <w:rPr>
          <w:sz w:val="22"/>
          <w:szCs w:val="22"/>
        </w:rPr>
        <w:t>InforEuro</w:t>
      </w:r>
      <w:proofErr w:type="spellEnd"/>
      <w:r>
        <w:rPr>
          <w:sz w:val="22"/>
          <w:szCs w:val="22"/>
        </w:rPr>
        <w:t xml:space="preserve"> exchange rate of December 2025, which can be found at the following address: </w:t>
      </w:r>
      <w:hyperlink r:id="rId11">
        <w:r>
          <w:rPr>
            <w:color w:val="0000FF"/>
            <w:sz w:val="22"/>
            <w:szCs w:val="22"/>
            <w:u w:val="single"/>
          </w:rPr>
          <w:t>http://ec.europa.eu/budget/graphs/inforeuro.html</w:t>
        </w:r>
      </w:hyperlink>
      <w:r>
        <w:rPr>
          <w:sz w:val="22"/>
          <w:szCs w:val="22"/>
        </w:rPr>
        <w:t>.</w:t>
      </w:r>
    </w:p>
    <w:p w14:paraId="009EDEE7" w14:textId="77777777" w:rsidR="00DE12AF" w:rsidRDefault="004335FD">
      <w:pPr>
        <w:pBdr>
          <w:top w:val="nil"/>
          <w:left w:val="nil"/>
          <w:bottom w:val="nil"/>
          <w:right w:val="nil"/>
          <w:between w:val="nil"/>
        </w:pBdr>
        <w:spacing w:before="840"/>
        <w:ind w:left="357" w:right="357"/>
        <w:jc w:val="center"/>
        <w:rPr>
          <w:color w:val="000000"/>
          <w:sz w:val="22"/>
          <w:szCs w:val="22"/>
        </w:rPr>
      </w:pPr>
      <w:r>
        <w:rPr>
          <w:color w:val="000000"/>
          <w:sz w:val="22"/>
          <w:szCs w:val="22"/>
        </w:rPr>
        <w:t>* * *</w:t>
      </w:r>
    </w:p>
    <w:sectPr w:rsidR="00DE12AF">
      <w:footerReference w:type="default" r:id="rId12"/>
      <w:pgSz w:w="12240" w:h="15840"/>
      <w:pgMar w:top="709" w:right="1440" w:bottom="1276" w:left="1418" w:header="851" w:footer="631"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10519FD" w14:textId="77777777" w:rsidR="004335FD" w:rsidRDefault="004335FD">
      <w:pPr>
        <w:spacing w:before="0" w:after="0"/>
      </w:pPr>
      <w:r>
        <w:separator/>
      </w:r>
    </w:p>
  </w:endnote>
  <w:endnote w:type="continuationSeparator" w:id="0">
    <w:p w14:paraId="5A55F9B4" w14:textId="77777777" w:rsidR="004335FD" w:rsidRDefault="004335FD">
      <w:pPr>
        <w:spacing w:before="0"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Noto Sans Symbols">
    <w:charset w:val="00"/>
    <w:family w:val="auto"/>
    <w:pitch w:val="default"/>
    <w:embedRegular r:id="rId1" w:fontKey="{8ECC4C69-D11C-4B6B-8AAD-B9C3508B9779}"/>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embedRegular r:id="rId2" w:fontKey="{F2A70A44-AFD0-4B4D-82B1-D48452FFEC09}"/>
    <w:embedBold r:id="rId3" w:fontKey="{78EE5F4B-4A7D-4B6A-BED2-5BF14C0934CF}"/>
  </w:font>
  <w:font w:name="Tahoma">
    <w:panose1 w:val="020B0604030504040204"/>
    <w:charset w:val="00"/>
    <w:family w:val="swiss"/>
    <w:pitch w:val="variable"/>
    <w:sig w:usb0="E1002EFF" w:usb1="C000605B" w:usb2="00000029" w:usb3="00000000" w:csb0="000101FF" w:csb1="00000000"/>
    <w:embedRegular r:id="rId4" w:fontKey="{F8F9014F-DC4F-431A-8AF0-DA88A3CACFDB}"/>
  </w:font>
  <w:font w:name="Courier New">
    <w:panose1 w:val="02070309020205020404"/>
    <w:charset w:val="00"/>
    <w:family w:val="modern"/>
    <w:pitch w:val="fixed"/>
    <w:sig w:usb0="E0002EFF" w:usb1="C0007843" w:usb2="00000009" w:usb3="00000000" w:csb0="000001FF" w:csb1="00000000"/>
  </w:font>
  <w:font w:name="Minion Pro">
    <w:altName w:val="Cambria"/>
    <w:panose1 w:val="00000000000000000000"/>
    <w:charset w:val="00"/>
    <w:family w:val="roman"/>
    <w:notTrueType/>
    <w:pitch w:val="default"/>
  </w:font>
  <w:font w:name="Quattrocento Sans">
    <w:charset w:val="00"/>
    <w:family w:val="swiss"/>
    <w:pitch w:val="variable"/>
    <w:sig w:usb0="800000BF" w:usb1="4000005B" w:usb2="00000000" w:usb3="00000000" w:csb0="00000001" w:csb1="00000000"/>
    <w:embedRegular r:id="rId5" w:fontKey="{9DE96197-991E-41FA-BFD6-98782265207F}"/>
  </w:font>
  <w:font w:name="Calibri Light">
    <w:panose1 w:val="020F0302020204030204"/>
    <w:charset w:val="00"/>
    <w:family w:val="swiss"/>
    <w:pitch w:val="variable"/>
    <w:sig w:usb0="E4002EFF" w:usb1="C000247B" w:usb2="00000009" w:usb3="00000000" w:csb0="000001FF" w:csb1="00000000"/>
    <w:embedRegular r:id="rId6" w:fontKey="{9FB116FA-975F-4DBC-AC30-3A61FC78991B}"/>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ED5F560" w14:textId="77777777" w:rsidR="00DE12AF" w:rsidRDefault="004335FD">
    <w:pPr>
      <w:pBdr>
        <w:top w:val="nil"/>
        <w:left w:val="nil"/>
        <w:bottom w:val="nil"/>
        <w:right w:val="nil"/>
        <w:between w:val="nil"/>
      </w:pBdr>
      <w:tabs>
        <w:tab w:val="center" w:pos="4320"/>
        <w:tab w:val="right" w:pos="8640"/>
        <w:tab w:val="right" w:pos="9214"/>
      </w:tabs>
      <w:spacing w:before="120" w:after="0"/>
      <w:rPr>
        <w:b/>
        <w:bCs/>
        <w:color w:val="000000"/>
        <w:sz w:val="20"/>
        <w:szCs w:val="20"/>
      </w:rPr>
    </w:pPr>
    <w:r>
      <w:rPr>
        <w:b/>
        <w:bCs/>
        <w:color w:val="000000"/>
        <w:sz w:val="20"/>
        <w:szCs w:val="20"/>
      </w:rPr>
      <w:t>2025</w:t>
    </w:r>
    <w:r>
      <w:rPr>
        <w:color w:val="000000"/>
        <w:sz w:val="18"/>
        <w:szCs w:val="18"/>
      </w:rPr>
      <w:tab/>
      <w:t xml:space="preserve">Page </w:t>
    </w:r>
    <w:r>
      <w:rPr>
        <w:color w:val="000000"/>
        <w:sz w:val="18"/>
        <w:szCs w:val="18"/>
      </w:rPr>
      <w:fldChar w:fldCharType="begin"/>
    </w:r>
    <w:r>
      <w:rPr>
        <w:color w:val="000000"/>
        <w:sz w:val="18"/>
        <w:szCs w:val="18"/>
      </w:rPr>
      <w:instrText>PAGE</w:instrText>
    </w:r>
    <w:r>
      <w:rPr>
        <w:color w:val="000000"/>
        <w:sz w:val="18"/>
        <w:szCs w:val="18"/>
      </w:rPr>
      <w:fldChar w:fldCharType="separate"/>
    </w:r>
    <w:r w:rsidR="00DA6CD3">
      <w:rPr>
        <w:noProof/>
        <w:color w:val="000000"/>
        <w:sz w:val="18"/>
        <w:szCs w:val="18"/>
      </w:rPr>
      <w:t>1</w:t>
    </w:r>
    <w:r>
      <w:rPr>
        <w:color w:val="000000"/>
        <w:sz w:val="18"/>
        <w:szCs w:val="18"/>
      </w:rPr>
      <w:fldChar w:fldCharType="end"/>
    </w:r>
    <w:r>
      <w:rPr>
        <w:color w:val="000000"/>
        <w:sz w:val="18"/>
        <w:szCs w:val="18"/>
      </w:rPr>
      <w:t xml:space="preserve"> of </w:t>
    </w:r>
    <w:r>
      <w:rPr>
        <w:color w:val="000000"/>
        <w:sz w:val="18"/>
        <w:szCs w:val="18"/>
      </w:rPr>
      <w:fldChar w:fldCharType="begin"/>
    </w:r>
    <w:r>
      <w:rPr>
        <w:color w:val="000000"/>
        <w:sz w:val="18"/>
        <w:szCs w:val="18"/>
      </w:rPr>
      <w:instrText>NUMPAGES</w:instrText>
    </w:r>
    <w:r>
      <w:rPr>
        <w:color w:val="000000"/>
        <w:sz w:val="18"/>
        <w:szCs w:val="18"/>
      </w:rPr>
      <w:fldChar w:fldCharType="separate"/>
    </w:r>
    <w:r w:rsidR="00DA6CD3">
      <w:rPr>
        <w:noProof/>
        <w:color w:val="000000"/>
        <w:sz w:val="18"/>
        <w:szCs w:val="18"/>
      </w:rPr>
      <w:t>2</w:t>
    </w:r>
    <w:r>
      <w:rPr>
        <w:color w:val="000000"/>
        <w:sz w:val="18"/>
        <w:szCs w:val="18"/>
      </w:rPr>
      <w:fldChar w:fldCharType="end"/>
    </w:r>
  </w:p>
  <w:p w14:paraId="41332BCE" w14:textId="77777777" w:rsidR="00DE12AF" w:rsidRDefault="004335FD">
    <w:pPr>
      <w:pBdr>
        <w:top w:val="nil"/>
        <w:left w:val="nil"/>
        <w:bottom w:val="nil"/>
        <w:right w:val="nil"/>
        <w:between w:val="nil"/>
      </w:pBdr>
      <w:tabs>
        <w:tab w:val="center" w:pos="4320"/>
        <w:tab w:val="right" w:pos="8640"/>
      </w:tabs>
      <w:spacing w:before="0" w:after="0"/>
      <w:rPr>
        <w:color w:val="000000"/>
      </w:rPr>
    </w:pPr>
    <w:r>
      <w:rPr>
        <w:color w:val="000000"/>
        <w:sz w:val="18"/>
        <w:szCs w:val="18"/>
      </w:rPr>
      <w:t>b8o3_contractnotice_simp_neg_en.docx</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76C7B42" w14:textId="77777777" w:rsidR="004335FD" w:rsidRDefault="004335FD">
      <w:pPr>
        <w:spacing w:before="0" w:after="0"/>
      </w:pPr>
      <w:r>
        <w:separator/>
      </w:r>
    </w:p>
  </w:footnote>
  <w:footnote w:type="continuationSeparator" w:id="0">
    <w:p w14:paraId="43B4915F" w14:textId="77777777" w:rsidR="004335FD" w:rsidRDefault="004335FD">
      <w:pPr>
        <w:spacing w:before="0" w:after="0"/>
      </w:pPr>
      <w:r>
        <w:continuationSeparator/>
      </w:r>
    </w:p>
  </w:footnote>
  <w:footnote w:id="1">
    <w:p w14:paraId="01FA87B8" w14:textId="77777777" w:rsidR="00DE12AF" w:rsidRDefault="004335FD">
      <w:pPr>
        <w:pBdr>
          <w:top w:val="nil"/>
          <w:left w:val="nil"/>
          <w:bottom w:val="nil"/>
          <w:right w:val="nil"/>
          <w:between w:val="nil"/>
        </w:pBdr>
        <w:ind w:left="284" w:hanging="284"/>
        <w:rPr>
          <w:color w:val="000000"/>
          <w:sz w:val="20"/>
          <w:szCs w:val="20"/>
        </w:rPr>
      </w:pPr>
      <w:r>
        <w:rPr>
          <w:vertAlign w:val="superscript"/>
        </w:rPr>
        <w:footnoteRef/>
      </w:r>
      <w:r>
        <w:rPr>
          <w:color w:val="000000"/>
          <w:sz w:val="20"/>
          <w:szCs w:val="20"/>
        </w:rPr>
        <w:tab/>
      </w:r>
      <w:r>
        <w:rPr>
          <w:color w:val="000000"/>
          <w:sz w:val="18"/>
          <w:szCs w:val="18"/>
        </w:rPr>
        <w:t>Please note that the EU Official Journal contains the official list of entities subject to restrictive measures and, in case of conflict, it prevails over the list of the </w:t>
      </w:r>
      <w:hyperlink r:id="rId1" w:anchor="/main">
        <w:r>
          <w:rPr>
            <w:i/>
            <w:iCs/>
            <w:color w:val="0000FF"/>
            <w:sz w:val="18"/>
            <w:szCs w:val="18"/>
            <w:u w:val="single"/>
          </w:rPr>
          <w:t>EU Sanctions Map</w:t>
        </w:r>
      </w:hyperlink>
      <w:r>
        <w:rPr>
          <w:color w:val="000000"/>
          <w:sz w:val="18"/>
          <w:szCs w:val="18"/>
        </w:rPr>
        <w:t>.</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3F509B"/>
    <w:multiLevelType w:val="multilevel"/>
    <w:tmpl w:val="0582B9B8"/>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1" w15:restartNumberingAfterBreak="0">
    <w:nsid w:val="0B9C0CB3"/>
    <w:multiLevelType w:val="multilevel"/>
    <w:tmpl w:val="9E1C25B4"/>
    <w:lvl w:ilvl="0">
      <w:start w:val="1"/>
      <w:numFmt w:val="decimal"/>
      <w:pStyle w:val="PRAGHeading2"/>
      <w:lvlText w:val="%1."/>
      <w:lvlJc w:val="left"/>
      <w:pPr>
        <w:ind w:left="420" w:hanging="420"/>
      </w:p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num w:numId="1" w16cid:durableId="1099984796">
    <w:abstractNumId w:val="1"/>
  </w:num>
  <w:num w:numId="2" w16cid:durableId="1136021018">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E12AF"/>
    <w:rsid w:val="004335FD"/>
    <w:rsid w:val="009912BA"/>
    <w:rsid w:val="00DA6CD3"/>
    <w:rsid w:val="00DE12AF"/>
  </w:rsids>
  <m:mathPr>
    <m:mathFont m:val="Cambria Math"/>
    <m:brkBin m:val="before"/>
    <m:brkBinSub m:val="--"/>
    <m:smallFrac m:val="0"/>
    <m:dispDef/>
    <m:lMargin m:val="0"/>
    <m:rMargin m:val="0"/>
    <m:defJc m:val="centerGroup"/>
    <m:wrapIndent m:val="1440"/>
    <m:intLim m:val="subSup"/>
    <m:naryLim m:val="undOvr"/>
  </m:mathPr>
  <w:themeFontLang w:val="sr-Latn-R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7AC7134"/>
  <w15:docId w15:val="{6580A411-50A3-441E-9B4F-2404DEA2B0F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en-GB" w:eastAsia="sr-Latn-RS" w:bidi="ar-SA"/>
      </w:rPr>
    </w:rPrDefault>
    <w:pPrDefault>
      <w:pPr>
        <w:widowControl w:val="0"/>
        <w:spacing w:before="100" w:after="10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bCs/>
      <w:sz w:val="48"/>
      <w:szCs w:val="48"/>
    </w:rPr>
  </w:style>
  <w:style w:type="paragraph" w:styleId="Heading2">
    <w:name w:val="heading 2"/>
    <w:basedOn w:val="Normal"/>
    <w:next w:val="Normal"/>
    <w:uiPriority w:val="9"/>
    <w:semiHidden/>
    <w:unhideWhenUsed/>
    <w:qFormat/>
    <w:pPr>
      <w:keepNext/>
      <w:widowControl/>
      <w:spacing w:before="120" w:after="120"/>
      <w:outlineLvl w:val="1"/>
    </w:pPr>
    <w:rPr>
      <w:rFonts w:ascii="Arial" w:eastAsia="Arial" w:hAnsi="Arial" w:cs="Arial"/>
      <w:sz w:val="20"/>
      <w:szCs w:val="20"/>
    </w:rPr>
  </w:style>
  <w:style w:type="paragraph" w:styleId="Heading3">
    <w:name w:val="heading 3"/>
    <w:basedOn w:val="Normal"/>
    <w:next w:val="Normal"/>
    <w:uiPriority w:val="9"/>
    <w:semiHidden/>
    <w:unhideWhenUsed/>
    <w:qFormat/>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pPr>
      <w:keepNext/>
      <w:spacing w:before="240" w:after="60"/>
      <w:outlineLvl w:val="3"/>
    </w:pPr>
    <w:rPr>
      <w:rFonts w:ascii="Calibri" w:eastAsia="Calibri" w:hAnsi="Calibri" w:cs="Calibri"/>
      <w:b/>
      <w:bCs/>
      <w:sz w:val="28"/>
      <w:szCs w:val="28"/>
    </w:rPr>
  </w:style>
  <w:style w:type="paragraph" w:styleId="Heading5">
    <w:name w:val="heading 5"/>
    <w:basedOn w:val="Normal"/>
    <w:next w:val="Normal"/>
    <w:uiPriority w:val="9"/>
    <w:semiHidden/>
    <w:unhideWhenUsed/>
    <w:qFormat/>
    <w:pPr>
      <w:keepNext/>
      <w:keepLines/>
      <w:spacing w:before="220" w:after="40"/>
      <w:outlineLvl w:val="4"/>
    </w:pPr>
    <w:rPr>
      <w:b/>
      <w:bCs/>
      <w:sz w:val="22"/>
      <w:szCs w:val="22"/>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paragraph" w:styleId="BalloonText">
    <w:name w:val="Balloon Text"/>
    <w:link w:val="BalloonTextChar"/>
    <w:qFormat/>
    <w:pPr>
      <w:spacing w:before="0" w:after="0"/>
    </w:pPr>
    <w:rPr>
      <w:rFonts w:ascii="Tahoma" w:hAnsi="Tahoma" w:cs="Tahoma"/>
      <w:sz w:val="16"/>
      <w:szCs w:val="16"/>
    </w:rPr>
  </w:style>
  <w:style w:type="paragraph" w:styleId="BodyText3">
    <w:name w:val="Body Text 3"/>
    <w:qFormat/>
    <w:pPr>
      <w:widowControl/>
      <w:tabs>
        <w:tab w:val="left" w:pos="0"/>
        <w:tab w:val="left" w:pos="567"/>
        <w:tab w:val="left" w:pos="1133"/>
        <w:tab w:val="left" w:pos="1700"/>
        <w:tab w:val="left" w:pos="2266"/>
        <w:tab w:val="left" w:pos="2832"/>
        <w:tab w:val="left" w:pos="3399"/>
        <w:tab w:val="left" w:pos="3965"/>
        <w:tab w:val="left" w:pos="4532"/>
        <w:tab w:val="left" w:pos="5098"/>
        <w:tab w:val="left" w:pos="5664"/>
        <w:tab w:val="left" w:pos="6231"/>
        <w:tab w:val="left" w:pos="6797"/>
        <w:tab w:val="left" w:pos="7364"/>
        <w:tab w:val="left" w:pos="7930"/>
        <w:tab w:val="left" w:pos="8496"/>
      </w:tabs>
      <w:suppressAutoHyphens/>
      <w:spacing w:before="120" w:after="120" w:line="240" w:lineRule="exact"/>
      <w:jc w:val="both"/>
    </w:pPr>
    <w:rPr>
      <w:rFonts w:ascii="Arial" w:hAnsi="Arial"/>
      <w:b/>
    </w:rPr>
  </w:style>
  <w:style w:type="character" w:styleId="CommentReference">
    <w:name w:val="annotation reference"/>
    <w:qFormat/>
    <w:rPr>
      <w:sz w:val="16"/>
      <w:szCs w:val="16"/>
    </w:rPr>
  </w:style>
  <w:style w:type="paragraph" w:styleId="CommentText">
    <w:name w:val="annotation text"/>
    <w:link w:val="CommentTextChar"/>
    <w:qFormat/>
    <w:rPr>
      <w:sz w:val="20"/>
    </w:rPr>
  </w:style>
  <w:style w:type="paragraph" w:styleId="CommentSubject">
    <w:name w:val="annotation subject"/>
    <w:basedOn w:val="CommentText"/>
    <w:next w:val="CommentText"/>
    <w:link w:val="CommentSubjectChar"/>
    <w:qFormat/>
    <w:rPr>
      <w:b/>
      <w:bCs/>
    </w:rPr>
  </w:style>
  <w:style w:type="paragraph" w:styleId="DocumentMap">
    <w:name w:val="Document Map"/>
    <w:semiHidden/>
    <w:qFormat/>
    <w:pPr>
      <w:shd w:val="clear" w:color="auto" w:fill="000080"/>
    </w:pPr>
    <w:rPr>
      <w:rFonts w:ascii="Tahoma" w:hAnsi="Tahoma"/>
    </w:rPr>
  </w:style>
  <w:style w:type="character" w:styleId="Emphasis">
    <w:name w:val="Emphasis"/>
    <w:uiPriority w:val="20"/>
    <w:qFormat/>
    <w:rPr>
      <w:i/>
    </w:rPr>
  </w:style>
  <w:style w:type="character" w:styleId="FollowedHyperlink">
    <w:name w:val="FollowedHyperlink"/>
    <w:qFormat/>
    <w:rPr>
      <w:color w:val="800080"/>
      <w:u w:val="single"/>
    </w:rPr>
  </w:style>
  <w:style w:type="paragraph" w:styleId="Footer">
    <w:name w:val="footer"/>
    <w:link w:val="FooterChar"/>
    <w:qFormat/>
    <w:pPr>
      <w:tabs>
        <w:tab w:val="center" w:pos="4320"/>
        <w:tab w:val="right" w:pos="8640"/>
      </w:tabs>
    </w:pPr>
  </w:style>
  <w:style w:type="character" w:styleId="FootnoteReference">
    <w:name w:val="footnote reference"/>
    <w:qFormat/>
    <w:rPr>
      <w:vertAlign w:val="superscript"/>
    </w:rPr>
  </w:style>
  <w:style w:type="paragraph" w:styleId="FootnoteText">
    <w:name w:val="footnote text"/>
    <w:link w:val="FootnoteTextChar"/>
    <w:uiPriority w:val="99"/>
    <w:qFormat/>
    <w:rPr>
      <w:sz w:val="20"/>
    </w:rPr>
  </w:style>
  <w:style w:type="paragraph" w:styleId="Header">
    <w:name w:val="header"/>
    <w:qFormat/>
    <w:pPr>
      <w:tabs>
        <w:tab w:val="center" w:pos="4320"/>
        <w:tab w:val="right" w:pos="8640"/>
      </w:tabs>
    </w:pPr>
  </w:style>
  <w:style w:type="character" w:styleId="Hyperlink">
    <w:name w:val="Hyperlink"/>
    <w:qFormat/>
    <w:rPr>
      <w:color w:val="0000FF"/>
      <w:u w:val="single"/>
    </w:rPr>
  </w:style>
  <w:style w:type="character" w:styleId="PageNumber">
    <w:name w:val="page number"/>
    <w:basedOn w:val="DefaultParagraphFont"/>
    <w:qFormat/>
  </w:style>
  <w:style w:type="character" w:styleId="Strong">
    <w:name w:val="Strong"/>
    <w:qFormat/>
    <w:rPr>
      <w:b/>
    </w:rPr>
  </w:style>
  <w:style w:type="paragraph" w:customStyle="1" w:styleId="DefinitionTerm">
    <w:name w:val="Definition Term"/>
    <w:next w:val="DefinitionList"/>
    <w:qFormat/>
    <w:pPr>
      <w:spacing w:before="0" w:after="0"/>
    </w:pPr>
  </w:style>
  <w:style w:type="paragraph" w:customStyle="1" w:styleId="DefinitionList">
    <w:name w:val="Definition List"/>
    <w:next w:val="DefinitionTerm"/>
    <w:qFormat/>
    <w:pPr>
      <w:spacing w:before="0" w:after="0"/>
      <w:ind w:left="360"/>
    </w:pPr>
  </w:style>
  <w:style w:type="character" w:customStyle="1" w:styleId="Definition">
    <w:name w:val="Definition"/>
    <w:qFormat/>
    <w:rPr>
      <w:i/>
    </w:rPr>
  </w:style>
  <w:style w:type="paragraph" w:customStyle="1" w:styleId="H1">
    <w:name w:val="H1"/>
    <w:qFormat/>
    <w:pPr>
      <w:keepNext/>
      <w:outlineLvl w:val="1"/>
    </w:pPr>
    <w:rPr>
      <w:b/>
      <w:kern w:val="36"/>
      <w:sz w:val="48"/>
    </w:rPr>
  </w:style>
  <w:style w:type="paragraph" w:customStyle="1" w:styleId="H2">
    <w:name w:val="H2"/>
    <w:qFormat/>
    <w:pPr>
      <w:keepNext/>
      <w:outlineLvl w:val="2"/>
    </w:pPr>
    <w:rPr>
      <w:b/>
      <w:sz w:val="36"/>
    </w:rPr>
  </w:style>
  <w:style w:type="paragraph" w:customStyle="1" w:styleId="H3">
    <w:name w:val="H3"/>
    <w:qFormat/>
    <w:pPr>
      <w:keepNext/>
      <w:outlineLvl w:val="3"/>
    </w:pPr>
    <w:rPr>
      <w:b/>
      <w:sz w:val="28"/>
    </w:rPr>
  </w:style>
  <w:style w:type="paragraph" w:customStyle="1" w:styleId="H4">
    <w:name w:val="H4"/>
    <w:qFormat/>
    <w:pPr>
      <w:keepNext/>
      <w:outlineLvl w:val="4"/>
    </w:pPr>
    <w:rPr>
      <w:b/>
    </w:rPr>
  </w:style>
  <w:style w:type="paragraph" w:customStyle="1" w:styleId="H5">
    <w:name w:val="H5"/>
    <w:qFormat/>
    <w:pPr>
      <w:keepNext/>
      <w:outlineLvl w:val="5"/>
    </w:pPr>
    <w:rPr>
      <w:b/>
      <w:sz w:val="20"/>
    </w:rPr>
  </w:style>
  <w:style w:type="paragraph" w:customStyle="1" w:styleId="H6">
    <w:name w:val="H6"/>
    <w:qFormat/>
    <w:pPr>
      <w:keepNext/>
      <w:outlineLvl w:val="6"/>
    </w:pPr>
    <w:rPr>
      <w:b/>
      <w:sz w:val="16"/>
    </w:rPr>
  </w:style>
  <w:style w:type="paragraph" w:customStyle="1" w:styleId="Address">
    <w:name w:val="Address"/>
    <w:qFormat/>
    <w:pPr>
      <w:spacing w:before="0" w:after="0"/>
    </w:pPr>
    <w:rPr>
      <w:i/>
    </w:rPr>
  </w:style>
  <w:style w:type="paragraph" w:customStyle="1" w:styleId="Blockquote">
    <w:name w:val="Blockquote"/>
    <w:qFormat/>
    <w:pPr>
      <w:ind w:left="360" w:right="360"/>
    </w:pPr>
  </w:style>
  <w:style w:type="character" w:customStyle="1" w:styleId="CITE">
    <w:name w:val="CITE"/>
    <w:qFormat/>
    <w:rPr>
      <w:i/>
    </w:rPr>
  </w:style>
  <w:style w:type="character" w:customStyle="1" w:styleId="CODE">
    <w:name w:val="CODE"/>
    <w:qFormat/>
    <w:rPr>
      <w:rFonts w:ascii="Courier New" w:hAnsi="Courier New"/>
      <w:sz w:val="20"/>
    </w:rPr>
  </w:style>
  <w:style w:type="character" w:customStyle="1" w:styleId="Keyboard">
    <w:name w:val="Keyboard"/>
    <w:qFormat/>
    <w:rPr>
      <w:rFonts w:ascii="Courier New" w:hAnsi="Courier New"/>
      <w:b/>
      <w:sz w:val="20"/>
    </w:rPr>
  </w:style>
  <w:style w:type="paragraph" w:customStyle="1" w:styleId="Preformatted">
    <w:name w:val="Preformatted"/>
    <w:qFormat/>
    <w:pPr>
      <w:tabs>
        <w:tab w:val="left" w:pos="0"/>
        <w:tab w:val="left" w:pos="959"/>
        <w:tab w:val="left" w:pos="1918"/>
        <w:tab w:val="left" w:pos="2877"/>
        <w:tab w:val="left" w:pos="3836"/>
        <w:tab w:val="left" w:pos="4795"/>
        <w:tab w:val="left" w:pos="5754"/>
        <w:tab w:val="left" w:pos="6713"/>
        <w:tab w:val="left" w:pos="7672"/>
        <w:tab w:val="left" w:pos="8631"/>
        <w:tab w:val="left" w:pos="9590"/>
      </w:tabs>
      <w:spacing w:before="0" w:after="0"/>
    </w:pPr>
    <w:rPr>
      <w:rFonts w:ascii="Courier New" w:hAnsi="Courier New"/>
      <w:sz w:val="20"/>
    </w:rPr>
  </w:style>
  <w:style w:type="paragraph" w:customStyle="1" w:styleId="z-BottomofForm1">
    <w:name w:val="z-Bottom of Form1"/>
    <w:hidden/>
    <w:qFormat/>
    <w:pPr>
      <w:pBdr>
        <w:top w:val="double" w:sz="2" w:space="0" w:color="000000"/>
      </w:pBdr>
      <w:jc w:val="center"/>
    </w:pPr>
    <w:rPr>
      <w:rFonts w:ascii="Arial" w:hAnsi="Arial"/>
      <w:snapToGrid w:val="0"/>
      <w:vanish/>
      <w:sz w:val="16"/>
      <w:lang w:val="en-US" w:eastAsia="en-US"/>
    </w:rPr>
  </w:style>
  <w:style w:type="paragraph" w:customStyle="1" w:styleId="z-TopofForm1">
    <w:name w:val="z-Top of Form1"/>
    <w:hidden/>
    <w:qFormat/>
    <w:pPr>
      <w:pBdr>
        <w:bottom w:val="double" w:sz="2" w:space="0" w:color="000000"/>
      </w:pBdr>
      <w:jc w:val="center"/>
    </w:pPr>
    <w:rPr>
      <w:rFonts w:ascii="Arial" w:hAnsi="Arial"/>
      <w:snapToGrid w:val="0"/>
      <w:vanish/>
      <w:sz w:val="16"/>
      <w:lang w:val="en-US" w:eastAsia="en-US"/>
    </w:rPr>
  </w:style>
  <w:style w:type="character" w:customStyle="1" w:styleId="Sample">
    <w:name w:val="Sample"/>
    <w:qFormat/>
    <w:rPr>
      <w:rFonts w:ascii="Courier New" w:hAnsi="Courier New"/>
    </w:rPr>
  </w:style>
  <w:style w:type="character" w:customStyle="1" w:styleId="Typewriter">
    <w:name w:val="Typewriter"/>
    <w:qFormat/>
    <w:rPr>
      <w:rFonts w:ascii="Courier New" w:hAnsi="Courier New"/>
      <w:sz w:val="20"/>
    </w:rPr>
  </w:style>
  <w:style w:type="character" w:customStyle="1" w:styleId="Variable">
    <w:name w:val="Variable"/>
    <w:qFormat/>
    <w:rPr>
      <w:i/>
    </w:rPr>
  </w:style>
  <w:style w:type="character" w:customStyle="1" w:styleId="HTMLMarkup">
    <w:name w:val="HTML Markup"/>
    <w:qFormat/>
    <w:rPr>
      <w:vanish/>
      <w:color w:val="FF0000"/>
    </w:rPr>
  </w:style>
  <w:style w:type="character" w:customStyle="1" w:styleId="Comment">
    <w:name w:val="Comment"/>
    <w:qFormat/>
    <w:rPr>
      <w:vanish/>
    </w:rPr>
  </w:style>
  <w:style w:type="character" w:customStyle="1" w:styleId="FooterChar">
    <w:name w:val="Footer Char"/>
    <w:link w:val="Footer"/>
    <w:qFormat/>
    <w:rPr>
      <w:snapToGrid w:val="0"/>
      <w:sz w:val="24"/>
      <w:lang w:val="en-US" w:eastAsia="en-US"/>
    </w:rPr>
  </w:style>
  <w:style w:type="character" w:customStyle="1" w:styleId="BalloonTextChar">
    <w:name w:val="Balloon Text Char"/>
    <w:link w:val="BalloonText"/>
    <w:qFormat/>
    <w:rPr>
      <w:rFonts w:ascii="Tahoma" w:hAnsi="Tahoma" w:cs="Tahoma"/>
      <w:snapToGrid w:val="0"/>
      <w:sz w:val="16"/>
      <w:szCs w:val="16"/>
      <w:lang w:val="en-US" w:eastAsia="en-US"/>
    </w:rPr>
  </w:style>
  <w:style w:type="character" w:customStyle="1" w:styleId="CommentTextChar">
    <w:name w:val="Comment Text Char"/>
    <w:link w:val="CommentText"/>
    <w:qFormat/>
    <w:rPr>
      <w:snapToGrid w:val="0"/>
      <w:lang w:val="en-US" w:eastAsia="en-US"/>
    </w:rPr>
  </w:style>
  <w:style w:type="character" w:customStyle="1" w:styleId="CommentSubjectChar">
    <w:name w:val="Comment Subject Char"/>
    <w:link w:val="CommentSubject"/>
    <w:qFormat/>
    <w:rPr>
      <w:b/>
      <w:bCs/>
      <w:snapToGrid w:val="0"/>
      <w:lang w:val="en-US" w:eastAsia="en-US"/>
    </w:rPr>
  </w:style>
  <w:style w:type="paragraph" w:customStyle="1" w:styleId="PRAGHeading2">
    <w:name w:val="PRAG Heading 2"/>
    <w:qFormat/>
    <w:pPr>
      <w:numPr>
        <w:numId w:val="1"/>
      </w:numPr>
    </w:pPr>
  </w:style>
  <w:style w:type="character" w:customStyle="1" w:styleId="SubtitleChar">
    <w:name w:val="Subtitle Char"/>
    <w:qFormat/>
    <w:rPr>
      <w:b/>
      <w:sz w:val="28"/>
      <w:lang w:val="fr-BE"/>
    </w:rPr>
  </w:style>
  <w:style w:type="character" w:customStyle="1" w:styleId="FootnoteTextChar">
    <w:name w:val="Footnote Text Char"/>
    <w:link w:val="FootnoteText"/>
    <w:uiPriority w:val="99"/>
    <w:qFormat/>
    <w:rPr>
      <w:snapToGrid w:val="0"/>
      <w:lang w:val="en-US" w:eastAsia="en-US"/>
    </w:rPr>
  </w:style>
  <w:style w:type="character" w:customStyle="1" w:styleId="normaltextrun">
    <w:name w:val="normaltextrun"/>
    <w:qFormat/>
  </w:style>
  <w:style w:type="character" w:customStyle="1" w:styleId="eop">
    <w:name w:val="eop"/>
    <w:qFormat/>
  </w:style>
  <w:style w:type="paragraph" w:customStyle="1" w:styleId="paragraph">
    <w:name w:val="paragraph"/>
    <w:qFormat/>
    <w:pPr>
      <w:widowControl/>
      <w:spacing w:beforeAutospacing="1" w:afterAutospacing="1"/>
    </w:pPr>
    <w:rPr>
      <w:lang w:val="fr-BE" w:eastAsia="fr-BE"/>
    </w:rPr>
  </w:style>
  <w:style w:type="character" w:customStyle="1" w:styleId="highlight">
    <w:name w:val="highlight"/>
    <w:qFormat/>
    <w:rPr>
      <w:rFonts w:cs="Times New Roman"/>
    </w:rPr>
  </w:style>
  <w:style w:type="paragraph" w:styleId="ListParagraph">
    <w:name w:val="List Paragraph"/>
    <w:uiPriority w:val="34"/>
    <w:qFormat/>
    <w:pPr>
      <w:ind w:left="720"/>
    </w:pPr>
  </w:style>
  <w:style w:type="paragraph" w:customStyle="1" w:styleId="Revision1">
    <w:name w:val="Revision1"/>
    <w:hidden/>
    <w:uiPriority w:val="99"/>
    <w:semiHidden/>
    <w:qFormat/>
    <w:rPr>
      <w:snapToGrid w:val="0"/>
      <w:lang w:val="en-US" w:eastAsia="en-US"/>
    </w:rPr>
  </w:style>
  <w:style w:type="character" w:customStyle="1" w:styleId="Heading4Char">
    <w:name w:val="Heading 4 Char"/>
    <w:semiHidden/>
    <w:qFormat/>
    <w:rPr>
      <w:rFonts w:ascii="Calibri" w:eastAsia="Times New Roman" w:hAnsi="Calibri" w:cs="Times New Roman"/>
      <w:b/>
      <w:bCs/>
      <w:snapToGrid w:val="0"/>
      <w:sz w:val="28"/>
      <w:szCs w:val="28"/>
      <w:lang w:val="en-US" w:eastAsia="en-US"/>
    </w:rPr>
  </w:style>
  <w:style w:type="paragraph" w:customStyle="1" w:styleId="Default">
    <w:name w:val="Default"/>
    <w:qFormat/>
    <w:pPr>
      <w:autoSpaceDE w:val="0"/>
      <w:autoSpaceDN w:val="0"/>
      <w:adjustRightInd w:val="0"/>
    </w:pPr>
    <w:rPr>
      <w:rFonts w:ascii="Minion Pro" w:hAnsi="Minion Pro" w:cs="Minion Pro"/>
      <w:color w:val="000000"/>
      <w:lang w:eastAsia="en-GB"/>
    </w:rPr>
  </w:style>
  <w:style w:type="paragraph" w:styleId="Subtitle">
    <w:name w:val="Subtitle"/>
    <w:basedOn w:val="Normal"/>
    <w:next w:val="Normal"/>
    <w:uiPriority w:val="11"/>
    <w:qFormat/>
    <w:pPr>
      <w:widowControl/>
      <w:spacing w:before="0" w:after="0"/>
      <w:jc w:val="center"/>
    </w:pPr>
    <w:rPr>
      <w:b/>
      <w:bCs/>
      <w:sz w:val="28"/>
      <w:szCs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ec.europa.eu/budget/graphs/inforeuro.html" TargetMode="External"/><Relationship Id="rId5" Type="http://schemas.openxmlformats.org/officeDocument/2006/relationships/webSettings" Target="webSettings.xml"/><Relationship Id="rId10" Type="http://schemas.openxmlformats.org/officeDocument/2006/relationships/hyperlink" Target="https://wikis.ec.europa.eu/display/ExactExternalWiki/Annexes" TargetMode="External"/><Relationship Id="rId4" Type="http://schemas.openxmlformats.org/officeDocument/2006/relationships/settings" Target="settings.xml"/><Relationship Id="rId9" Type="http://schemas.openxmlformats.org/officeDocument/2006/relationships/hyperlink" Target="https://wikis.ec.europa.eu/display/ExactExternalWiki/Annexes" TargetMode="Externa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footnotes.xml.rels><?xml version="1.0" encoding="UTF-8" standalone="yes"?>
<Relationships xmlns="http://schemas.openxmlformats.org/package/2006/relationships"><Relationship Id="rId1" Type="http://schemas.openxmlformats.org/officeDocument/2006/relationships/hyperlink" Target="https://www.sanctionsmap.eu/"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Vs4lhnp9UmuPHao7BeZ0ep7tXfQ==">CgMxLjAyDmguYjhlZnRtY2x2em1zMg5oLjVvYmhjNWFyZDhyMTINaC5paWpzMjg1aWJmdjIOaC5lZ282NTFreGJiOWcyDmguZzhma3dmcWZlZHRiMg1oLmJ3YzFza2oxZDd1Mg5oLmEzNmMwNWVqdXJ4OTIOaC4zZnhpNThoY256NHI4AHIhMTR3WmhHWFNDaGNfM0p4SF82ckszX01nT1JHZ2paUHdO</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app.xml><?xml version="1.0" encoding="utf-8"?>
<Properties xmlns="http://schemas.openxmlformats.org/officeDocument/2006/extended-properties" xmlns:vt="http://schemas.openxmlformats.org/officeDocument/2006/docPropsVTypes">
  <Template>Normal.dotm</Template>
  <TotalTime>7</TotalTime>
  <Pages>5</Pages>
  <Words>1809</Words>
  <Characters>10312</Characters>
  <Application>Microsoft Office Word</Application>
  <DocSecurity>0</DocSecurity>
  <Lines>85</Lines>
  <Paragraphs>24</Paragraphs>
  <ScaleCrop>false</ScaleCrop>
  <Company/>
  <LinksUpToDate>false</LinksUpToDate>
  <CharactersWithSpaces>12097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ramatje</dc:creator>
  <cp:lastModifiedBy>User</cp:lastModifiedBy>
  <cp:revision>3</cp:revision>
  <dcterms:created xsi:type="dcterms:W3CDTF">2024-07-11T08:17:00Z</dcterms:created>
  <dcterms:modified xsi:type="dcterms:W3CDTF">2026-02-08T21:34:00Z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ENERATOR">
    <vt:lpwstr>Microsoft FrontPage 3.0</vt:lpwstr>
  </property>
  <property fmtid="{D5CDD505-2E9C-101B-9397-08002B2CF9AE}" pid="3" name="Checked by">
    <vt:lpwstr>duboile</vt:lpwstr>
  </property>
  <property fmtid="{D5CDD505-2E9C-101B-9397-08002B2CF9AE}" pid="4" name="MSIP_Label_f4cdc456-5864-460f-beda-883d23b78bbb_Enabled">
    <vt:lpwstr>true</vt:lpwstr>
  </property>
  <property fmtid="{D5CDD505-2E9C-101B-9397-08002B2CF9AE}" pid="5" name="MSIP_Label_f4cdc456-5864-460f-beda-883d23b78bbb_SetDate">
    <vt:lpwstr>2023-04-04T08:20:09Z</vt:lpwstr>
  </property>
  <property fmtid="{D5CDD505-2E9C-101B-9397-08002B2CF9AE}" pid="6" name="MSIP_Label_f4cdc456-5864-460f-beda-883d23b78bbb_Method">
    <vt:lpwstr>Privileged</vt:lpwstr>
  </property>
  <property fmtid="{D5CDD505-2E9C-101B-9397-08002B2CF9AE}" pid="7" name="MSIP_Label_f4cdc456-5864-460f-beda-883d23b78bbb_Name">
    <vt:lpwstr>Publicly Available</vt:lpwstr>
  </property>
  <property fmtid="{D5CDD505-2E9C-101B-9397-08002B2CF9AE}" pid="8" name="MSIP_Label_f4cdc456-5864-460f-beda-883d23b78bbb_SiteId">
    <vt:lpwstr>b24c8b06-522c-46fe-9080-70926f8dddb1</vt:lpwstr>
  </property>
  <property fmtid="{D5CDD505-2E9C-101B-9397-08002B2CF9AE}" pid="9" name="MSIP_Label_f4cdc456-5864-460f-beda-883d23b78bbb_ActionId">
    <vt:lpwstr>aca8553b-8ae2-4072-8e8b-b1d93aec8079</vt:lpwstr>
  </property>
  <property fmtid="{D5CDD505-2E9C-101B-9397-08002B2CF9AE}" pid="10" name="MSIP_Label_f4cdc456-5864-460f-beda-883d23b78bbb_ContentBits">
    <vt:lpwstr>0</vt:lpwstr>
  </property>
  <property fmtid="{D5CDD505-2E9C-101B-9397-08002B2CF9AE}" pid="11" name="KSOProductBuildVer">
    <vt:lpwstr>1033-12.2.0.23196</vt:lpwstr>
  </property>
  <property fmtid="{D5CDD505-2E9C-101B-9397-08002B2CF9AE}" pid="12" name="ICV">
    <vt:lpwstr>9C4E3A277C8B423A8F369F332F6B3280_13</vt:lpwstr>
  </property>
</Properties>
</file>